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166E" w14:textId="77777777" w:rsidR="00C76632" w:rsidRPr="007B0EEE" w:rsidRDefault="00C76632" w:rsidP="00C76632">
      <w:pPr>
        <w:pStyle w:val="Default"/>
        <w:jc w:val="center"/>
        <w:rPr>
          <w:rFonts w:asciiTheme="majorHAnsi" w:hAnsiTheme="majorHAnsi" w:cstheme="majorHAnsi"/>
          <w:sz w:val="28"/>
          <w:szCs w:val="28"/>
        </w:rPr>
      </w:pPr>
      <w:r w:rsidRPr="007B0EEE">
        <w:rPr>
          <w:rFonts w:asciiTheme="majorHAnsi" w:eastAsia="Gadugi" w:hAnsiTheme="majorHAnsi" w:cstheme="majorHAnsi"/>
          <w:i/>
          <w:sz w:val="28"/>
          <w:lang w:bidi="fr-CA"/>
        </w:rPr>
        <w:t>Un message du Conseil d’examen des taux des entreprises de service</w:t>
      </w:r>
    </w:p>
    <w:p w14:paraId="6998354D" w14:textId="77777777" w:rsidR="00C76632" w:rsidRPr="007B0EEE" w:rsidRDefault="00C76632" w:rsidP="00C76632">
      <w:pPr>
        <w:pStyle w:val="Default"/>
        <w:jc w:val="both"/>
        <w:rPr>
          <w:rFonts w:asciiTheme="majorHAnsi" w:hAnsiTheme="majorHAnsi" w:cstheme="majorHAnsi"/>
          <w:color w:val="auto"/>
          <w:spacing w:val="-1"/>
          <w:sz w:val="28"/>
          <w:szCs w:val="28"/>
        </w:rPr>
      </w:pPr>
    </w:p>
    <w:p w14:paraId="27E03870" w14:textId="5A779F99" w:rsidR="0070714C" w:rsidRPr="007B0EEE" w:rsidRDefault="0070714C" w:rsidP="00FC26AE">
      <w:pPr>
        <w:pStyle w:val="Default"/>
        <w:jc w:val="both"/>
        <w:rPr>
          <w:rFonts w:asciiTheme="majorHAnsi" w:hAnsiTheme="majorHAnsi" w:cstheme="majorHAnsi"/>
          <w:color w:val="auto"/>
          <w:spacing w:val="-1"/>
          <w:sz w:val="28"/>
          <w:szCs w:val="28"/>
        </w:rPr>
      </w:pPr>
      <w:r w:rsidRPr="007B0EEE">
        <w:rPr>
          <w:rFonts w:asciiTheme="majorHAnsi" w:eastAsia="Gadugi" w:hAnsiTheme="majorHAnsi" w:cstheme="majorHAnsi"/>
          <w:color w:val="auto"/>
          <w:spacing w:val="-1"/>
          <w:sz w:val="28"/>
          <w:lang w:bidi="fr-CA"/>
        </w:rPr>
        <w:t>Le 29 novembre 2024, le Conseil d’examen des taux des entreprises de service (</w:t>
      </w:r>
      <w:r w:rsidR="007B0EEE">
        <w:rPr>
          <w:rFonts w:asciiTheme="majorHAnsi" w:eastAsia="Gadugi" w:hAnsiTheme="majorHAnsi" w:cstheme="majorHAnsi"/>
          <w:color w:val="auto"/>
          <w:spacing w:val="-1"/>
          <w:sz w:val="28"/>
          <w:lang w:bidi="fr-CA"/>
        </w:rPr>
        <w:t>« </w:t>
      </w:r>
      <w:r w:rsidRPr="007B0EEE">
        <w:rPr>
          <w:rFonts w:asciiTheme="majorHAnsi" w:eastAsia="Gadugi" w:hAnsiTheme="majorHAnsi" w:cstheme="majorHAnsi"/>
          <w:color w:val="auto"/>
          <w:spacing w:val="-1"/>
          <w:sz w:val="28"/>
          <w:lang w:bidi="fr-CA"/>
        </w:rPr>
        <w:t>Conseil</w:t>
      </w:r>
      <w:r w:rsidR="007B0EEE">
        <w:rPr>
          <w:rFonts w:asciiTheme="majorHAnsi" w:eastAsia="Gadugi" w:hAnsiTheme="majorHAnsi" w:cstheme="majorHAnsi"/>
          <w:color w:val="auto"/>
          <w:spacing w:val="-1"/>
          <w:sz w:val="28"/>
          <w:lang w:bidi="fr-CA"/>
        </w:rPr>
        <w:t> »</w:t>
      </w:r>
      <w:r w:rsidRPr="007B0EEE">
        <w:rPr>
          <w:rFonts w:asciiTheme="majorHAnsi" w:eastAsia="Gadugi" w:hAnsiTheme="majorHAnsi" w:cstheme="majorHAnsi"/>
          <w:color w:val="auto"/>
          <w:spacing w:val="-1"/>
          <w:sz w:val="28"/>
          <w:lang w:bidi="fr-CA"/>
        </w:rPr>
        <w:t>) a reçu une requête en majoration tarifaire générale de la Société d’énergie Qulliq (</w:t>
      </w:r>
      <w:r w:rsidR="007B0EEE">
        <w:rPr>
          <w:rFonts w:asciiTheme="majorHAnsi" w:eastAsia="Gadugi" w:hAnsiTheme="majorHAnsi" w:cstheme="majorHAnsi"/>
          <w:color w:val="auto"/>
          <w:spacing w:val="-1"/>
          <w:sz w:val="28"/>
          <w:lang w:bidi="fr-CA"/>
        </w:rPr>
        <w:t>« </w:t>
      </w:r>
      <w:r w:rsidRPr="007B0EEE">
        <w:rPr>
          <w:rFonts w:asciiTheme="majorHAnsi" w:eastAsia="Gadugi" w:hAnsiTheme="majorHAnsi" w:cstheme="majorHAnsi"/>
          <w:color w:val="auto"/>
          <w:spacing w:val="-1"/>
          <w:sz w:val="28"/>
          <w:lang w:bidi="fr-CA"/>
        </w:rPr>
        <w:t>Société</w:t>
      </w:r>
      <w:r w:rsidR="007B0EEE">
        <w:rPr>
          <w:rFonts w:asciiTheme="majorHAnsi" w:eastAsia="Gadugi" w:hAnsiTheme="majorHAnsi" w:cstheme="majorHAnsi"/>
          <w:color w:val="auto"/>
          <w:spacing w:val="-1"/>
          <w:sz w:val="28"/>
          <w:lang w:bidi="fr-CA"/>
        </w:rPr>
        <w:t> »</w:t>
      </w:r>
      <w:r w:rsidRPr="007B0EEE">
        <w:rPr>
          <w:rFonts w:asciiTheme="majorHAnsi" w:eastAsia="Gadugi" w:hAnsiTheme="majorHAnsi" w:cstheme="majorHAnsi"/>
          <w:color w:val="auto"/>
          <w:spacing w:val="-1"/>
          <w:sz w:val="28"/>
          <w:lang w:bidi="fr-CA"/>
        </w:rPr>
        <w:t xml:space="preserve">). Cette requête lui a été </w:t>
      </w:r>
      <w:r w:rsidR="00BA57E8">
        <w:rPr>
          <w:rFonts w:asciiTheme="majorHAnsi" w:eastAsia="Gadugi" w:hAnsiTheme="majorHAnsi" w:cstheme="majorHAnsi"/>
          <w:color w:val="auto"/>
          <w:spacing w:val="-1"/>
          <w:sz w:val="28"/>
          <w:lang w:bidi="fr-CA"/>
        </w:rPr>
        <w:t>soumise</w:t>
      </w:r>
      <w:r w:rsidR="00BA57E8" w:rsidRPr="007B0EEE">
        <w:rPr>
          <w:rFonts w:asciiTheme="majorHAnsi" w:eastAsia="Gadugi" w:hAnsiTheme="majorHAnsi" w:cstheme="majorHAnsi"/>
          <w:color w:val="auto"/>
          <w:spacing w:val="-1"/>
          <w:sz w:val="28"/>
          <w:lang w:bidi="fr-CA"/>
        </w:rPr>
        <w:t xml:space="preserve"> </w:t>
      </w:r>
      <w:r w:rsidRPr="007B0EEE">
        <w:rPr>
          <w:rFonts w:asciiTheme="majorHAnsi" w:eastAsia="Gadugi" w:hAnsiTheme="majorHAnsi" w:cstheme="majorHAnsi"/>
          <w:color w:val="auto"/>
          <w:spacing w:val="-1"/>
          <w:sz w:val="28"/>
          <w:lang w:bidi="fr-CA"/>
        </w:rPr>
        <w:t xml:space="preserve">pour examen et recommandation par le ministre responsable de la Société d’énergie Qulliq. </w:t>
      </w:r>
    </w:p>
    <w:p w14:paraId="7A71C8EE" w14:textId="77777777" w:rsidR="0070714C" w:rsidRPr="007B0EEE" w:rsidRDefault="0070714C" w:rsidP="00FC26AE">
      <w:pPr>
        <w:pStyle w:val="Default"/>
        <w:jc w:val="both"/>
        <w:rPr>
          <w:rFonts w:asciiTheme="majorHAnsi" w:hAnsiTheme="majorHAnsi" w:cstheme="majorHAnsi"/>
        </w:rPr>
      </w:pPr>
    </w:p>
    <w:p w14:paraId="7F18847C" w14:textId="7CD0A187" w:rsidR="000E6F60" w:rsidRPr="007B0EEE" w:rsidRDefault="000E6F60" w:rsidP="004F1F17">
      <w:pPr>
        <w:jc w:val="both"/>
        <w:rPr>
          <w:rFonts w:asciiTheme="majorHAnsi" w:hAnsiTheme="majorHAnsi" w:cstheme="majorHAnsi"/>
          <w:b/>
          <w:spacing w:val="-1"/>
          <w:sz w:val="28"/>
          <w:szCs w:val="28"/>
          <w:lang w:val="fr-CA"/>
        </w:rPr>
      </w:pPr>
      <w:r w:rsidRPr="007B0EEE">
        <w:rPr>
          <w:rFonts w:asciiTheme="majorHAnsi" w:eastAsia="Gadugi" w:hAnsiTheme="majorHAnsi" w:cstheme="majorHAnsi"/>
          <w:b/>
          <w:spacing w:val="-1"/>
          <w:sz w:val="28"/>
          <w:lang w:val="fr-CA" w:bidi="fr-CA"/>
        </w:rPr>
        <w:t>La requête</w:t>
      </w:r>
    </w:p>
    <w:p w14:paraId="19776728" w14:textId="68B7BA27" w:rsidR="0070714C" w:rsidRPr="007B0EEE" w:rsidRDefault="004F1F17" w:rsidP="004F1F17">
      <w:pPr>
        <w:jc w:val="both"/>
        <w:rPr>
          <w:rFonts w:asciiTheme="majorHAnsi" w:hAnsiTheme="majorHAnsi" w:cstheme="majorHAnsi"/>
          <w:spacing w:val="-1"/>
          <w:sz w:val="28"/>
          <w:szCs w:val="28"/>
          <w:lang w:val="fr-CA"/>
        </w:rPr>
      </w:pPr>
      <w:r w:rsidRPr="007B0EEE">
        <w:rPr>
          <w:rFonts w:asciiTheme="majorHAnsi" w:eastAsia="Gadugi" w:hAnsiTheme="majorHAnsi" w:cstheme="majorHAnsi"/>
          <w:spacing w:val="-1"/>
          <w:sz w:val="28"/>
          <w:lang w:val="fr-CA" w:bidi="fr-CA"/>
        </w:rPr>
        <w:t>La Société demande au ministre qui en est responsable d’approuver :</w:t>
      </w:r>
    </w:p>
    <w:p w14:paraId="256256FB" w14:textId="3EF997D2" w:rsidR="0070714C" w:rsidRPr="007B0EEE" w:rsidRDefault="001D386B" w:rsidP="001D386B">
      <w:pPr>
        <w:pStyle w:val="ListParagraph"/>
        <w:numPr>
          <w:ilvl w:val="0"/>
          <w:numId w:val="3"/>
        </w:numPr>
        <w:jc w:val="both"/>
        <w:rPr>
          <w:rFonts w:asciiTheme="majorHAnsi" w:hAnsiTheme="majorHAnsi" w:cstheme="majorHAnsi"/>
          <w:spacing w:val="-1"/>
          <w:sz w:val="28"/>
          <w:szCs w:val="28"/>
          <w:lang w:val="fr-CA"/>
        </w:rPr>
      </w:pPr>
      <w:r w:rsidRPr="007B0EEE">
        <w:rPr>
          <w:rFonts w:asciiTheme="majorHAnsi" w:eastAsia="Gadugi" w:hAnsiTheme="majorHAnsi" w:cstheme="majorHAnsi"/>
          <w:spacing w:val="-1"/>
          <w:sz w:val="28"/>
          <w:lang w:val="fr-CA" w:bidi="fr-CA"/>
        </w:rPr>
        <w:t>une majoration de ses taux afin de répondre à un besoin anticipé de 183,9 </w:t>
      </w:r>
      <w:r w:rsidR="007B0EEE">
        <w:rPr>
          <w:rFonts w:asciiTheme="majorHAnsi" w:eastAsia="Gadugi" w:hAnsiTheme="majorHAnsi" w:cstheme="majorHAnsi"/>
          <w:spacing w:val="-1"/>
          <w:sz w:val="28"/>
          <w:lang w:val="fr-CA" w:bidi="fr-CA"/>
        </w:rPr>
        <w:t>millions $</w:t>
      </w:r>
      <w:r w:rsidRPr="007B0EEE">
        <w:rPr>
          <w:rFonts w:asciiTheme="majorHAnsi" w:eastAsia="Gadugi" w:hAnsiTheme="majorHAnsi" w:cstheme="majorHAnsi"/>
          <w:spacing w:val="-1"/>
          <w:sz w:val="28"/>
          <w:lang w:val="fr-CA" w:bidi="fr-CA"/>
        </w:rPr>
        <w:t xml:space="preserve"> en revenus pour l’année de référence 2025</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 xml:space="preserve">2026 car </w:t>
      </w:r>
      <w:r w:rsidR="00C0391B">
        <w:rPr>
          <w:rFonts w:asciiTheme="majorHAnsi" w:eastAsia="Gadugi" w:hAnsiTheme="majorHAnsi" w:cstheme="majorHAnsi"/>
          <w:spacing w:val="-1"/>
          <w:sz w:val="28"/>
          <w:lang w:val="fr-CA" w:bidi="fr-CA"/>
        </w:rPr>
        <w:t>—</w:t>
      </w:r>
      <w:r w:rsidRPr="007B0EEE">
        <w:rPr>
          <w:rFonts w:asciiTheme="majorHAnsi" w:eastAsia="Gadugi" w:hAnsiTheme="majorHAnsi" w:cstheme="majorHAnsi"/>
          <w:spacing w:val="-1"/>
          <w:sz w:val="28"/>
          <w:lang w:val="fr-CA" w:bidi="fr-CA"/>
        </w:rPr>
        <w:t xml:space="preserve"> selon les calculs que la Société a effectué</w:t>
      </w:r>
      <w:r w:rsidR="007B0EEE">
        <w:rPr>
          <w:rFonts w:asciiTheme="majorHAnsi" w:eastAsia="Gadugi" w:hAnsiTheme="majorHAnsi" w:cstheme="majorHAnsi"/>
          <w:spacing w:val="-1"/>
          <w:sz w:val="28"/>
          <w:lang w:val="fr-CA" w:bidi="fr-CA"/>
        </w:rPr>
        <w:t>s</w:t>
      </w:r>
      <w:r w:rsidRPr="007B0EEE">
        <w:rPr>
          <w:rFonts w:asciiTheme="majorHAnsi" w:eastAsia="Gadugi" w:hAnsiTheme="majorHAnsi" w:cstheme="majorHAnsi"/>
          <w:spacing w:val="-1"/>
          <w:sz w:val="28"/>
          <w:lang w:val="fr-CA" w:bidi="fr-CA"/>
        </w:rPr>
        <w:t xml:space="preserve"> </w:t>
      </w:r>
      <w:r w:rsidR="00BA57E8">
        <w:rPr>
          <w:rFonts w:asciiTheme="majorHAnsi" w:eastAsia="Gadugi" w:hAnsiTheme="majorHAnsi" w:cstheme="majorHAnsi"/>
          <w:spacing w:val="-1"/>
          <w:sz w:val="28"/>
          <w:lang w:val="fr-CA" w:bidi="fr-CA"/>
        </w:rPr>
        <w:t>à partir des</w:t>
      </w:r>
      <w:r w:rsidRPr="007B0EEE">
        <w:rPr>
          <w:rFonts w:asciiTheme="majorHAnsi" w:eastAsia="Gadugi" w:hAnsiTheme="majorHAnsi" w:cstheme="majorHAnsi"/>
          <w:spacing w:val="-1"/>
          <w:sz w:val="28"/>
          <w:lang w:val="fr-CA" w:bidi="fr-CA"/>
        </w:rPr>
        <w:t xml:space="preserve"> taux actuels</w:t>
      </w:r>
      <w:r w:rsidR="00BA57E8">
        <w:rPr>
          <w:rFonts w:asciiTheme="majorHAnsi" w:eastAsia="Gadugi" w:hAnsiTheme="majorHAnsi" w:cstheme="majorHAnsi"/>
          <w:spacing w:val="-1"/>
          <w:sz w:val="28"/>
          <w:lang w:val="fr-CA" w:bidi="fr-CA"/>
        </w:rPr>
        <w:t>, c’est</w:t>
      </w:r>
      <w:r w:rsidR="009F2723">
        <w:rPr>
          <w:rFonts w:asciiTheme="majorHAnsi" w:eastAsia="Gadugi" w:hAnsiTheme="majorHAnsi" w:cstheme="majorHAnsi"/>
          <w:spacing w:val="-1"/>
          <w:sz w:val="28"/>
          <w:lang w:val="fr-CA" w:bidi="fr-CA"/>
        </w:rPr>
        <w:noBreakHyphen/>
      </w:r>
      <w:r w:rsidR="00BA57E8">
        <w:rPr>
          <w:rFonts w:asciiTheme="majorHAnsi" w:eastAsia="Gadugi" w:hAnsiTheme="majorHAnsi" w:cstheme="majorHAnsi"/>
          <w:spacing w:val="-1"/>
          <w:sz w:val="28"/>
          <w:lang w:val="fr-CA" w:bidi="fr-CA"/>
        </w:rPr>
        <w:t>à</w:t>
      </w:r>
      <w:r w:rsidR="009F2723">
        <w:rPr>
          <w:rFonts w:asciiTheme="majorHAnsi" w:eastAsia="Gadugi" w:hAnsiTheme="majorHAnsi" w:cstheme="majorHAnsi"/>
          <w:spacing w:val="-1"/>
          <w:sz w:val="28"/>
          <w:lang w:val="fr-CA" w:bidi="fr-CA"/>
        </w:rPr>
        <w:noBreakHyphen/>
      </w:r>
      <w:r w:rsidR="00BA57E8">
        <w:rPr>
          <w:rFonts w:asciiTheme="majorHAnsi" w:eastAsia="Gadugi" w:hAnsiTheme="majorHAnsi" w:cstheme="majorHAnsi"/>
          <w:spacing w:val="-1"/>
          <w:sz w:val="28"/>
          <w:lang w:val="fr-CA" w:bidi="fr-CA"/>
        </w:rPr>
        <w:t>dire en ajoutant aux taux</w:t>
      </w:r>
      <w:r w:rsidRPr="007B0EEE">
        <w:rPr>
          <w:rFonts w:asciiTheme="majorHAnsi" w:eastAsia="Gadugi" w:hAnsiTheme="majorHAnsi" w:cstheme="majorHAnsi"/>
          <w:spacing w:val="-1"/>
          <w:sz w:val="28"/>
          <w:lang w:val="fr-CA" w:bidi="fr-CA"/>
        </w:rPr>
        <w:t xml:space="preserve"> approuvés lors de la majoration des tarifs de base de 2022</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2023 l’actuel supplément de stabilisation du cout du combustible qui viendra à échéance le 31 mars 2025</w:t>
      </w:r>
      <w:r w:rsidR="00BA57E8">
        <w:rPr>
          <w:rFonts w:asciiTheme="majorHAnsi" w:eastAsia="Gadugi" w:hAnsiTheme="majorHAnsi" w:cstheme="majorHAnsi"/>
          <w:spacing w:val="-1"/>
          <w:sz w:val="28"/>
          <w:lang w:val="fr-CA" w:bidi="fr-CA"/>
        </w:rPr>
        <w:t>,</w:t>
      </w:r>
      <w:r w:rsidRPr="007B0EEE">
        <w:rPr>
          <w:rFonts w:asciiTheme="majorHAnsi" w:eastAsia="Gadugi" w:hAnsiTheme="majorHAnsi" w:cstheme="majorHAnsi"/>
          <w:spacing w:val="-1"/>
          <w:sz w:val="28"/>
          <w:lang w:val="fr-CA" w:bidi="fr-CA"/>
        </w:rPr>
        <w:t xml:space="preserve"> </w:t>
      </w:r>
      <w:r w:rsidR="00C0391B">
        <w:rPr>
          <w:rFonts w:asciiTheme="majorHAnsi" w:eastAsia="Gadugi" w:hAnsiTheme="majorHAnsi" w:cstheme="majorHAnsi"/>
          <w:spacing w:val="-1"/>
          <w:sz w:val="28"/>
          <w:lang w:val="fr-CA" w:bidi="fr-CA"/>
        </w:rPr>
        <w:t>—</w:t>
      </w:r>
      <w:r w:rsidRPr="007B0EEE">
        <w:rPr>
          <w:rFonts w:asciiTheme="majorHAnsi" w:eastAsia="Gadugi" w:hAnsiTheme="majorHAnsi" w:cstheme="majorHAnsi"/>
          <w:spacing w:val="-1"/>
          <w:sz w:val="28"/>
          <w:lang w:val="fr-CA" w:bidi="fr-CA"/>
        </w:rPr>
        <w:t xml:space="preserve"> les revenus générés par les taux actuels créeraient un manque à gagner de 21,5 </w:t>
      </w:r>
      <w:r w:rsidR="007B0EEE">
        <w:rPr>
          <w:rFonts w:asciiTheme="majorHAnsi" w:eastAsia="Gadugi" w:hAnsiTheme="majorHAnsi" w:cstheme="majorHAnsi"/>
          <w:spacing w:val="-1"/>
          <w:sz w:val="28"/>
          <w:lang w:val="fr-CA" w:bidi="fr-CA"/>
        </w:rPr>
        <w:t>millions $</w:t>
      </w:r>
      <w:r w:rsidRPr="007B0EEE">
        <w:rPr>
          <w:rFonts w:asciiTheme="majorHAnsi" w:eastAsia="Gadugi" w:hAnsiTheme="majorHAnsi" w:cstheme="majorHAnsi"/>
          <w:spacing w:val="-1"/>
          <w:sz w:val="28"/>
          <w:lang w:val="fr-CA" w:bidi="fr-CA"/>
        </w:rPr>
        <w:t>;</w:t>
      </w:r>
    </w:p>
    <w:p w14:paraId="787F5050" w14:textId="4D08BA30" w:rsidR="001D386B" w:rsidRPr="007B0EEE" w:rsidRDefault="00C51CD6" w:rsidP="001D386B">
      <w:pPr>
        <w:pStyle w:val="ListParagraph"/>
        <w:numPr>
          <w:ilvl w:val="0"/>
          <w:numId w:val="3"/>
        </w:numPr>
        <w:jc w:val="both"/>
        <w:rPr>
          <w:rFonts w:asciiTheme="majorHAnsi" w:hAnsiTheme="majorHAnsi" w:cstheme="majorHAnsi"/>
          <w:spacing w:val="-1"/>
          <w:sz w:val="28"/>
          <w:szCs w:val="28"/>
          <w:lang w:val="fr-CA"/>
        </w:rPr>
      </w:pPr>
      <w:proofErr w:type="gramStart"/>
      <w:r w:rsidRPr="007B0EEE">
        <w:rPr>
          <w:rFonts w:asciiTheme="majorHAnsi" w:eastAsia="Gadugi" w:hAnsiTheme="majorHAnsi" w:cstheme="majorHAnsi"/>
          <w:spacing w:val="-1"/>
          <w:sz w:val="28"/>
          <w:lang w:val="fr-CA" w:bidi="fr-CA"/>
        </w:rPr>
        <w:t>le</w:t>
      </w:r>
      <w:proofErr w:type="gramEnd"/>
      <w:r w:rsidRPr="007B0EEE">
        <w:rPr>
          <w:rFonts w:asciiTheme="majorHAnsi" w:eastAsia="Gadugi" w:hAnsiTheme="majorHAnsi" w:cstheme="majorHAnsi"/>
          <w:spacing w:val="-1"/>
          <w:sz w:val="28"/>
          <w:lang w:val="fr-CA" w:bidi="fr-CA"/>
        </w:rPr>
        <w:t xml:space="preserve"> maintien de l’actuelle structure tarifaire territoriale actualisée (ou « principe du timbre</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poste », c’est</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à</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 xml:space="preserve">dire </w:t>
      </w:r>
      <w:r w:rsidR="00BA57E8">
        <w:rPr>
          <w:rFonts w:asciiTheme="majorHAnsi" w:eastAsia="Gadugi" w:hAnsiTheme="majorHAnsi" w:cstheme="majorHAnsi"/>
          <w:spacing w:val="-1"/>
          <w:sz w:val="28"/>
          <w:lang w:val="fr-CA" w:bidi="fr-CA"/>
        </w:rPr>
        <w:t xml:space="preserve">l’application d’un taux uniforme pour un type de service donné, sans égard à </w:t>
      </w:r>
      <w:r w:rsidRPr="007B0EEE">
        <w:rPr>
          <w:rFonts w:asciiTheme="majorHAnsi" w:eastAsia="Gadugi" w:hAnsiTheme="majorHAnsi" w:cstheme="majorHAnsi"/>
          <w:spacing w:val="-1"/>
          <w:sz w:val="28"/>
          <w:lang w:val="fr-CA" w:bidi="fr-CA"/>
        </w:rPr>
        <w:t>la distance nécessaire pour prester le service);</w:t>
      </w:r>
    </w:p>
    <w:p w14:paraId="4EC4FEDF" w14:textId="500B02EB" w:rsidR="001F264D" w:rsidRPr="007B0EEE" w:rsidRDefault="001F264D" w:rsidP="001D386B">
      <w:pPr>
        <w:pStyle w:val="ListParagraph"/>
        <w:numPr>
          <w:ilvl w:val="0"/>
          <w:numId w:val="3"/>
        </w:numPr>
        <w:jc w:val="both"/>
        <w:rPr>
          <w:rFonts w:asciiTheme="majorHAnsi" w:hAnsiTheme="majorHAnsi" w:cstheme="majorHAnsi"/>
          <w:spacing w:val="-1"/>
          <w:sz w:val="28"/>
          <w:szCs w:val="28"/>
          <w:lang w:val="fr-CA"/>
        </w:rPr>
      </w:pPr>
      <w:proofErr w:type="gramStart"/>
      <w:r w:rsidRPr="007B0EEE">
        <w:rPr>
          <w:rFonts w:asciiTheme="majorHAnsi" w:eastAsia="Gadugi" w:hAnsiTheme="majorHAnsi" w:cstheme="majorHAnsi"/>
          <w:spacing w:val="-1"/>
          <w:sz w:val="28"/>
          <w:lang w:val="fr-CA" w:bidi="fr-CA"/>
        </w:rPr>
        <w:t>le</w:t>
      </w:r>
      <w:proofErr w:type="gramEnd"/>
      <w:r w:rsidRPr="007B0EEE">
        <w:rPr>
          <w:rFonts w:asciiTheme="majorHAnsi" w:eastAsia="Gadugi" w:hAnsiTheme="majorHAnsi" w:cstheme="majorHAnsi"/>
          <w:spacing w:val="-1"/>
          <w:sz w:val="28"/>
          <w:lang w:val="fr-CA" w:bidi="fr-CA"/>
        </w:rPr>
        <w:t xml:space="preserve"> passage du simple au double des frais mensuels de service à la clientèle et du taux de prime à la puissance mensuelle;</w:t>
      </w:r>
    </w:p>
    <w:p w14:paraId="1AAFB90F" w14:textId="7EFA12A4" w:rsidR="005C184B" w:rsidRPr="007B0EEE" w:rsidRDefault="005C184B" w:rsidP="005C184B">
      <w:pPr>
        <w:pStyle w:val="ListParagraph"/>
        <w:numPr>
          <w:ilvl w:val="0"/>
          <w:numId w:val="3"/>
        </w:numPr>
        <w:jc w:val="both"/>
        <w:rPr>
          <w:rFonts w:asciiTheme="majorHAnsi" w:hAnsiTheme="majorHAnsi" w:cstheme="majorHAnsi"/>
          <w:spacing w:val="-1"/>
          <w:sz w:val="28"/>
          <w:szCs w:val="28"/>
          <w:lang w:val="fr-CA"/>
        </w:rPr>
      </w:pPr>
      <w:proofErr w:type="gramStart"/>
      <w:r w:rsidRPr="007B0EEE">
        <w:rPr>
          <w:rFonts w:asciiTheme="majorHAnsi" w:eastAsia="Gadugi" w:hAnsiTheme="majorHAnsi" w:cstheme="majorHAnsi"/>
          <w:spacing w:val="-1"/>
          <w:sz w:val="28"/>
          <w:lang w:val="fr-CA" w:bidi="fr-CA"/>
        </w:rPr>
        <w:t>une</w:t>
      </w:r>
      <w:proofErr w:type="gramEnd"/>
      <w:r w:rsidRPr="007B0EEE">
        <w:rPr>
          <w:rFonts w:asciiTheme="majorHAnsi" w:eastAsia="Gadugi" w:hAnsiTheme="majorHAnsi" w:cstheme="majorHAnsi"/>
          <w:spacing w:val="-1"/>
          <w:sz w:val="28"/>
          <w:lang w:val="fr-CA" w:bidi="fr-CA"/>
        </w:rPr>
        <w:t xml:space="preserve"> majoration moyenne de 9,5 % des tarifs d</w:t>
      </w:r>
      <w:r w:rsidR="0046349C">
        <w:rPr>
          <w:rFonts w:asciiTheme="majorHAnsi" w:eastAsia="Gadugi" w:hAnsiTheme="majorHAnsi" w:cstheme="majorHAnsi"/>
          <w:spacing w:val="-1"/>
          <w:sz w:val="28"/>
          <w:lang w:val="fr-CA" w:bidi="fr-CA"/>
        </w:rPr>
        <w:t>’</w:t>
      </w:r>
      <w:r w:rsidRPr="007B0EEE">
        <w:rPr>
          <w:rFonts w:asciiTheme="majorHAnsi" w:eastAsia="Gadugi" w:hAnsiTheme="majorHAnsi" w:cstheme="majorHAnsi"/>
          <w:spacing w:val="-1"/>
          <w:sz w:val="28"/>
          <w:lang w:val="fr-CA" w:bidi="fr-CA"/>
        </w:rPr>
        <w:t>électricité pour les particuliers et les clients commerciaux</w:t>
      </w:r>
      <w:r w:rsidR="00BA57E8">
        <w:rPr>
          <w:rFonts w:asciiTheme="majorHAnsi" w:eastAsia="Gadugi" w:hAnsiTheme="majorHAnsi" w:cstheme="majorHAnsi"/>
          <w:spacing w:val="-1"/>
          <w:sz w:val="28"/>
          <w:lang w:val="fr-CA" w:bidi="fr-CA"/>
        </w:rPr>
        <w:t>,</w:t>
      </w:r>
      <w:r w:rsidRPr="007B0EEE">
        <w:rPr>
          <w:rFonts w:asciiTheme="majorHAnsi" w:eastAsia="Gadugi" w:hAnsiTheme="majorHAnsi" w:cstheme="majorHAnsi"/>
          <w:spacing w:val="-1"/>
          <w:sz w:val="28"/>
          <w:lang w:val="fr-CA" w:bidi="fr-CA"/>
        </w:rPr>
        <w:t xml:space="preserve"> et de 12,9 % pour l’approvisionnement en électricité de lampadaires</w:t>
      </w:r>
      <w:r w:rsidR="00BA57E8">
        <w:rPr>
          <w:rFonts w:asciiTheme="majorHAnsi" w:eastAsia="Gadugi" w:hAnsiTheme="majorHAnsi" w:cstheme="majorHAnsi"/>
          <w:spacing w:val="-1"/>
          <w:sz w:val="28"/>
          <w:lang w:val="fr-CA" w:bidi="fr-CA"/>
        </w:rPr>
        <w:t>;</w:t>
      </w:r>
    </w:p>
    <w:p w14:paraId="3612EB6A" w14:textId="7F27F8C8" w:rsidR="007A176F" w:rsidRPr="007B0EEE" w:rsidRDefault="007A176F" w:rsidP="001D386B">
      <w:pPr>
        <w:pStyle w:val="ListParagraph"/>
        <w:numPr>
          <w:ilvl w:val="0"/>
          <w:numId w:val="3"/>
        </w:numPr>
        <w:jc w:val="both"/>
        <w:rPr>
          <w:rFonts w:asciiTheme="majorHAnsi" w:hAnsiTheme="majorHAnsi" w:cstheme="majorHAnsi"/>
          <w:spacing w:val="-1"/>
          <w:sz w:val="28"/>
          <w:szCs w:val="28"/>
          <w:lang w:val="fr-CA"/>
        </w:rPr>
      </w:pPr>
      <w:proofErr w:type="gramStart"/>
      <w:r w:rsidRPr="007B0EEE">
        <w:rPr>
          <w:rFonts w:asciiTheme="majorHAnsi" w:eastAsia="Gadugi" w:hAnsiTheme="majorHAnsi" w:cstheme="majorHAnsi"/>
          <w:spacing w:val="-1"/>
          <w:sz w:val="28"/>
          <w:lang w:val="fr-CA" w:bidi="fr-CA"/>
        </w:rPr>
        <w:t>l’entrée</w:t>
      </w:r>
      <w:proofErr w:type="gramEnd"/>
      <w:r w:rsidRPr="007B0EEE">
        <w:rPr>
          <w:rFonts w:asciiTheme="majorHAnsi" w:eastAsia="Gadugi" w:hAnsiTheme="majorHAnsi" w:cstheme="majorHAnsi"/>
          <w:spacing w:val="-1"/>
          <w:sz w:val="28"/>
          <w:lang w:val="fr-CA" w:bidi="fr-CA"/>
        </w:rPr>
        <w:t xml:space="preserve"> en vigueur des taux majorés en fonction de l’année témoin 2025</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2026 commençant le 1</w:t>
      </w:r>
      <w:r w:rsidRPr="007B0EEE">
        <w:rPr>
          <w:rFonts w:asciiTheme="majorHAnsi" w:eastAsia="Gadugi" w:hAnsiTheme="majorHAnsi" w:cstheme="majorHAnsi"/>
          <w:spacing w:val="-1"/>
          <w:sz w:val="28"/>
          <w:vertAlign w:val="superscript"/>
          <w:lang w:val="fr-CA" w:bidi="fr-CA"/>
        </w:rPr>
        <w:t>er</w:t>
      </w:r>
      <w:r w:rsidRPr="007B0EEE">
        <w:rPr>
          <w:rFonts w:asciiTheme="majorHAnsi" w:eastAsia="Gadugi" w:hAnsiTheme="majorHAnsi" w:cstheme="majorHAnsi"/>
          <w:spacing w:val="-1"/>
          <w:sz w:val="28"/>
          <w:lang w:val="fr-CA" w:bidi="fr-CA"/>
        </w:rPr>
        <w:t> avril 2025, la Société ayant déclaré son intention de présenter ultérieurement une requête d’approbation de tarifs provisoires pour couvrir la période séparant le 1</w:t>
      </w:r>
      <w:r w:rsidRPr="007B0EEE">
        <w:rPr>
          <w:rFonts w:asciiTheme="majorHAnsi" w:eastAsia="Gadugi" w:hAnsiTheme="majorHAnsi" w:cstheme="majorHAnsi"/>
          <w:spacing w:val="-1"/>
          <w:sz w:val="28"/>
          <w:vertAlign w:val="superscript"/>
          <w:lang w:val="fr-CA" w:bidi="fr-CA"/>
        </w:rPr>
        <w:t>er</w:t>
      </w:r>
      <w:r w:rsidRPr="007B0EEE">
        <w:rPr>
          <w:rFonts w:asciiTheme="majorHAnsi" w:eastAsia="Gadugi" w:hAnsiTheme="majorHAnsi" w:cstheme="majorHAnsi"/>
          <w:spacing w:val="-1"/>
          <w:sz w:val="28"/>
          <w:lang w:val="fr-CA" w:bidi="fr-CA"/>
        </w:rPr>
        <w:t> avril 2025 de la date d’approbation des taux définitifs.</w:t>
      </w:r>
    </w:p>
    <w:p w14:paraId="7026B93F" w14:textId="77777777" w:rsidR="001D386B" w:rsidRPr="007B0EEE" w:rsidRDefault="001D386B" w:rsidP="004F1F17">
      <w:pPr>
        <w:jc w:val="both"/>
        <w:rPr>
          <w:rFonts w:asciiTheme="majorHAnsi" w:hAnsiTheme="majorHAnsi" w:cstheme="majorHAnsi"/>
          <w:lang w:val="fr-CA"/>
        </w:rPr>
      </w:pPr>
    </w:p>
    <w:p w14:paraId="7A888BE2" w14:textId="5554F3C0" w:rsidR="00E236F5" w:rsidRPr="007B0EEE" w:rsidRDefault="00E236F5" w:rsidP="004F1F17">
      <w:pPr>
        <w:jc w:val="both"/>
        <w:rPr>
          <w:rFonts w:asciiTheme="majorHAnsi" w:hAnsiTheme="majorHAnsi" w:cstheme="majorHAnsi"/>
          <w:spacing w:val="-1"/>
          <w:sz w:val="28"/>
          <w:szCs w:val="28"/>
          <w:lang w:val="fr-CA"/>
        </w:rPr>
      </w:pPr>
      <w:r w:rsidRPr="007B0EEE">
        <w:rPr>
          <w:rFonts w:asciiTheme="majorHAnsi" w:eastAsia="Gadugi" w:hAnsiTheme="majorHAnsi" w:cstheme="majorHAnsi"/>
          <w:spacing w:val="-1"/>
          <w:sz w:val="28"/>
          <w:lang w:val="fr-CA" w:bidi="fr-CA"/>
        </w:rPr>
        <w:t>Les besoins anticipés de 183,9 </w:t>
      </w:r>
      <w:r w:rsidR="007B0EEE">
        <w:rPr>
          <w:rFonts w:asciiTheme="majorHAnsi" w:eastAsia="Gadugi" w:hAnsiTheme="majorHAnsi" w:cstheme="majorHAnsi"/>
          <w:spacing w:val="-1"/>
          <w:sz w:val="28"/>
          <w:lang w:val="fr-CA" w:bidi="fr-CA"/>
        </w:rPr>
        <w:t>millions $</w:t>
      </w:r>
      <w:r w:rsidRPr="007B0EEE">
        <w:rPr>
          <w:rFonts w:asciiTheme="majorHAnsi" w:eastAsia="Gadugi" w:hAnsiTheme="majorHAnsi" w:cstheme="majorHAnsi"/>
          <w:spacing w:val="-1"/>
          <w:sz w:val="28"/>
          <w:lang w:val="fr-CA" w:bidi="fr-CA"/>
        </w:rPr>
        <w:t xml:space="preserve"> en revenus dépassent d’environ 40 </w:t>
      </w:r>
      <w:r w:rsidR="007B0EEE">
        <w:rPr>
          <w:rFonts w:asciiTheme="majorHAnsi" w:eastAsia="Gadugi" w:hAnsiTheme="majorHAnsi" w:cstheme="majorHAnsi"/>
          <w:spacing w:val="-1"/>
          <w:sz w:val="28"/>
          <w:lang w:val="fr-CA" w:bidi="fr-CA"/>
        </w:rPr>
        <w:t>millions $</w:t>
      </w:r>
      <w:r w:rsidRPr="007B0EEE">
        <w:rPr>
          <w:rFonts w:asciiTheme="majorHAnsi" w:eastAsia="Gadugi" w:hAnsiTheme="majorHAnsi" w:cstheme="majorHAnsi"/>
          <w:spacing w:val="-1"/>
          <w:sz w:val="28"/>
          <w:lang w:val="fr-CA" w:bidi="fr-CA"/>
        </w:rPr>
        <w:t xml:space="preserve"> ceux demandés dans la requête en majoration tarifaire générale initiale de 2022</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2023, et de 27,30 $ ceux de l’ajustement du taux de base de 2022</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2023 lequel tenait compte de la hausse des couts de carburant et entrait en vigueur le 1</w:t>
      </w:r>
      <w:r w:rsidRPr="007B0EEE">
        <w:rPr>
          <w:rFonts w:asciiTheme="majorHAnsi" w:eastAsia="Gadugi" w:hAnsiTheme="majorHAnsi" w:cstheme="majorHAnsi"/>
          <w:spacing w:val="-1"/>
          <w:sz w:val="28"/>
          <w:vertAlign w:val="superscript"/>
          <w:lang w:val="fr-CA" w:bidi="fr-CA"/>
        </w:rPr>
        <w:t>er</w:t>
      </w:r>
      <w:r w:rsidRPr="007B0EEE">
        <w:rPr>
          <w:rFonts w:asciiTheme="majorHAnsi" w:eastAsia="Gadugi" w:hAnsiTheme="majorHAnsi" w:cstheme="majorHAnsi"/>
          <w:spacing w:val="-1"/>
          <w:sz w:val="28"/>
          <w:lang w:val="fr-CA" w:bidi="fr-CA"/>
        </w:rPr>
        <w:t> octobre 2023. La majoration à 27,3 </w:t>
      </w:r>
      <w:r w:rsidR="007B0EEE">
        <w:rPr>
          <w:rFonts w:asciiTheme="majorHAnsi" w:eastAsia="Gadugi" w:hAnsiTheme="majorHAnsi" w:cstheme="majorHAnsi"/>
          <w:spacing w:val="-1"/>
          <w:sz w:val="28"/>
          <w:lang w:val="fr-CA" w:bidi="fr-CA"/>
        </w:rPr>
        <w:t>millions $</w:t>
      </w:r>
      <w:r w:rsidRPr="007B0EEE">
        <w:rPr>
          <w:rFonts w:asciiTheme="majorHAnsi" w:eastAsia="Gadugi" w:hAnsiTheme="majorHAnsi" w:cstheme="majorHAnsi"/>
          <w:spacing w:val="-1"/>
          <w:sz w:val="28"/>
          <w:lang w:val="fr-CA" w:bidi="fr-CA"/>
        </w:rPr>
        <w:t xml:space="preserve"> depuis l’ajustement </w:t>
      </w:r>
      <w:r w:rsidRPr="007B0EEE">
        <w:rPr>
          <w:rFonts w:asciiTheme="majorHAnsi" w:eastAsia="Gadugi" w:hAnsiTheme="majorHAnsi" w:cstheme="majorHAnsi"/>
          <w:spacing w:val="-1"/>
          <w:sz w:val="28"/>
          <w:lang w:val="fr-CA" w:bidi="fr-CA"/>
        </w:rPr>
        <w:lastRenderedPageBreak/>
        <w:t>du taux de stabilisation du cout du combustible découle principalement de l’augmentation des dépenses pour les activités et l’entretien autres que pour le combustible (soit 19,3 millions</w:t>
      </w:r>
      <w:r w:rsidR="00BA57E8">
        <w:rPr>
          <w:rFonts w:asciiTheme="majorHAnsi" w:eastAsia="Gadugi" w:hAnsiTheme="majorHAnsi" w:cstheme="majorHAnsi"/>
          <w:spacing w:val="-1"/>
          <w:sz w:val="28"/>
          <w:lang w:val="fr-CA" w:bidi="fr-CA"/>
        </w:rPr>
        <w:t> $</w:t>
      </w:r>
      <w:r w:rsidRPr="007B0EEE">
        <w:rPr>
          <w:rFonts w:asciiTheme="majorHAnsi" w:eastAsia="Gadugi" w:hAnsiTheme="majorHAnsi" w:cstheme="majorHAnsi"/>
          <w:spacing w:val="-1"/>
          <w:sz w:val="28"/>
          <w:lang w:val="fr-CA" w:bidi="fr-CA"/>
        </w:rPr>
        <w:t>), la production pétrolifère (soit 5,9 millions</w:t>
      </w:r>
      <w:r w:rsidR="00BA57E8">
        <w:rPr>
          <w:rFonts w:asciiTheme="majorHAnsi" w:eastAsia="Gadugi" w:hAnsiTheme="majorHAnsi" w:cstheme="majorHAnsi"/>
          <w:spacing w:val="-1"/>
          <w:sz w:val="28"/>
          <w:lang w:val="fr-CA" w:bidi="fr-CA"/>
        </w:rPr>
        <w:t> $</w:t>
      </w:r>
      <w:r w:rsidRPr="007B0EEE">
        <w:rPr>
          <w:rFonts w:asciiTheme="majorHAnsi" w:eastAsia="Gadugi" w:hAnsiTheme="majorHAnsi" w:cstheme="majorHAnsi"/>
          <w:spacing w:val="-1"/>
          <w:sz w:val="28"/>
          <w:lang w:val="fr-CA" w:bidi="fr-CA"/>
        </w:rPr>
        <w:t>), et du retour au tarif de base (soit 4,3 millions</w:t>
      </w:r>
      <w:r w:rsidR="00BA57E8">
        <w:rPr>
          <w:rFonts w:asciiTheme="majorHAnsi" w:eastAsia="Gadugi" w:hAnsiTheme="majorHAnsi" w:cstheme="majorHAnsi"/>
          <w:spacing w:val="-1"/>
          <w:sz w:val="28"/>
          <w:lang w:val="fr-CA" w:bidi="fr-CA"/>
        </w:rPr>
        <w:t> $</w:t>
      </w:r>
      <w:r w:rsidRPr="007B0EEE">
        <w:rPr>
          <w:rFonts w:asciiTheme="majorHAnsi" w:eastAsia="Gadugi" w:hAnsiTheme="majorHAnsi" w:cstheme="majorHAnsi"/>
          <w:spacing w:val="-1"/>
          <w:sz w:val="28"/>
          <w:lang w:val="fr-CA" w:bidi="fr-CA"/>
        </w:rPr>
        <w:t xml:space="preserve">), </w:t>
      </w:r>
      <w:r w:rsidR="00BA57E8">
        <w:rPr>
          <w:rFonts w:asciiTheme="majorHAnsi" w:eastAsia="Gadugi" w:hAnsiTheme="majorHAnsi" w:cstheme="majorHAnsi"/>
          <w:spacing w:val="-1"/>
          <w:sz w:val="28"/>
          <w:lang w:val="fr-CA" w:bidi="fr-CA"/>
        </w:rPr>
        <w:t xml:space="preserve">mais elle est partiellement compensée par </w:t>
      </w:r>
      <w:r w:rsidRPr="007B0EEE">
        <w:rPr>
          <w:rFonts w:asciiTheme="majorHAnsi" w:eastAsia="Gadugi" w:hAnsiTheme="majorHAnsi" w:cstheme="majorHAnsi"/>
          <w:spacing w:val="-1"/>
          <w:sz w:val="28"/>
          <w:lang w:val="fr-CA" w:bidi="fr-CA"/>
        </w:rPr>
        <w:t>une baisse de l’amortissement des immobilisations (soit 2,1 millions</w:t>
      </w:r>
      <w:r w:rsidR="00BA57E8">
        <w:rPr>
          <w:rFonts w:asciiTheme="majorHAnsi" w:eastAsia="Gadugi" w:hAnsiTheme="majorHAnsi" w:cstheme="majorHAnsi"/>
          <w:spacing w:val="-1"/>
          <w:sz w:val="28"/>
          <w:lang w:val="fr-CA" w:bidi="fr-CA"/>
        </w:rPr>
        <w:t> $</w:t>
      </w:r>
      <w:r w:rsidRPr="007B0EEE">
        <w:rPr>
          <w:rFonts w:asciiTheme="majorHAnsi" w:eastAsia="Gadugi" w:hAnsiTheme="majorHAnsi" w:cstheme="majorHAnsi"/>
          <w:spacing w:val="-1"/>
          <w:sz w:val="28"/>
          <w:lang w:val="fr-CA" w:bidi="fr-CA"/>
        </w:rPr>
        <w:t xml:space="preserve">). L’augmentation des </w:t>
      </w:r>
      <w:r w:rsidR="00BA57E8">
        <w:rPr>
          <w:rFonts w:asciiTheme="majorHAnsi" w:eastAsia="Gadugi" w:hAnsiTheme="majorHAnsi" w:cstheme="majorHAnsi"/>
          <w:spacing w:val="-1"/>
          <w:sz w:val="28"/>
          <w:lang w:val="fr-CA" w:bidi="fr-CA"/>
        </w:rPr>
        <w:t>dépenses</w:t>
      </w:r>
      <w:r w:rsidRPr="007B0EEE">
        <w:rPr>
          <w:rFonts w:asciiTheme="majorHAnsi" w:eastAsia="Gadugi" w:hAnsiTheme="majorHAnsi" w:cstheme="majorHAnsi"/>
          <w:spacing w:val="-1"/>
          <w:sz w:val="28"/>
          <w:lang w:val="fr-CA" w:bidi="fr-CA"/>
        </w:rPr>
        <w:t xml:space="preserve"> est également compensée par la hausse de revenus découlant des tarifs existants (2,4 </w:t>
      </w:r>
      <w:r w:rsidR="007B0EEE">
        <w:rPr>
          <w:rFonts w:asciiTheme="majorHAnsi" w:eastAsia="Gadugi" w:hAnsiTheme="majorHAnsi" w:cstheme="majorHAnsi"/>
          <w:spacing w:val="-1"/>
          <w:sz w:val="28"/>
          <w:lang w:val="fr-CA" w:bidi="fr-CA"/>
        </w:rPr>
        <w:t>millions $</w:t>
      </w:r>
      <w:r w:rsidRPr="007B0EEE">
        <w:rPr>
          <w:rFonts w:asciiTheme="majorHAnsi" w:eastAsia="Gadugi" w:hAnsiTheme="majorHAnsi" w:cstheme="majorHAnsi"/>
          <w:spacing w:val="-1"/>
          <w:sz w:val="28"/>
          <w:lang w:val="fr-CA" w:bidi="fr-CA"/>
        </w:rPr>
        <w:t>), principalement en raison de la croissance de la demande énergétique, des revenus non électriques (0,9 </w:t>
      </w:r>
      <w:r w:rsidR="007B0EEE">
        <w:rPr>
          <w:rFonts w:asciiTheme="majorHAnsi" w:eastAsia="Gadugi" w:hAnsiTheme="majorHAnsi" w:cstheme="majorHAnsi"/>
          <w:spacing w:val="-1"/>
          <w:sz w:val="28"/>
          <w:lang w:val="fr-CA" w:bidi="fr-CA"/>
        </w:rPr>
        <w:t>million $</w:t>
      </w:r>
      <w:r w:rsidRPr="007B0EEE">
        <w:rPr>
          <w:rFonts w:asciiTheme="majorHAnsi" w:eastAsia="Gadugi" w:hAnsiTheme="majorHAnsi" w:cstheme="majorHAnsi"/>
          <w:spacing w:val="-1"/>
          <w:sz w:val="28"/>
          <w:lang w:val="fr-CA" w:bidi="fr-CA"/>
        </w:rPr>
        <w:t>) et des montants qui seraient perçus si le supplément de stabilisation du cout du combustible restait en place (2,5 </w:t>
      </w:r>
      <w:r w:rsidR="007B0EEE">
        <w:rPr>
          <w:rFonts w:asciiTheme="majorHAnsi" w:eastAsia="Gadugi" w:hAnsiTheme="majorHAnsi" w:cstheme="majorHAnsi"/>
          <w:spacing w:val="-1"/>
          <w:sz w:val="28"/>
          <w:lang w:val="fr-CA" w:bidi="fr-CA"/>
        </w:rPr>
        <w:t>millions $</w:t>
      </w:r>
      <w:r w:rsidRPr="007B0EEE">
        <w:rPr>
          <w:rFonts w:asciiTheme="majorHAnsi" w:eastAsia="Gadugi" w:hAnsiTheme="majorHAnsi" w:cstheme="majorHAnsi"/>
          <w:spacing w:val="-1"/>
          <w:sz w:val="28"/>
          <w:lang w:val="fr-CA" w:bidi="fr-CA"/>
        </w:rPr>
        <w:t xml:space="preserve">). </w:t>
      </w:r>
      <w:r w:rsidR="00BA57E8">
        <w:rPr>
          <w:rFonts w:asciiTheme="majorHAnsi" w:eastAsia="Gadugi" w:hAnsiTheme="majorHAnsi" w:cstheme="majorHAnsi"/>
          <w:spacing w:val="-1"/>
          <w:sz w:val="28"/>
          <w:lang w:val="fr-CA" w:bidi="fr-CA"/>
        </w:rPr>
        <w:t xml:space="preserve">Le </w:t>
      </w:r>
      <w:r w:rsidR="00BA57E8" w:rsidRPr="007B0EEE">
        <w:rPr>
          <w:rFonts w:asciiTheme="majorHAnsi" w:eastAsia="Gadugi" w:hAnsiTheme="majorHAnsi" w:cstheme="majorHAnsi"/>
          <w:spacing w:val="-1"/>
          <w:sz w:val="28"/>
          <w:lang w:val="fr-CA" w:bidi="fr-CA"/>
        </w:rPr>
        <w:t xml:space="preserve">manque à gagner </w:t>
      </w:r>
      <w:r w:rsidR="00BA57E8">
        <w:rPr>
          <w:rFonts w:asciiTheme="majorHAnsi" w:eastAsia="Gadugi" w:hAnsiTheme="majorHAnsi" w:cstheme="majorHAnsi"/>
          <w:spacing w:val="-1"/>
          <w:sz w:val="28"/>
          <w:lang w:val="fr-CA" w:bidi="fr-CA"/>
        </w:rPr>
        <w:t xml:space="preserve">prévu </w:t>
      </w:r>
      <w:r w:rsidR="00BA57E8" w:rsidRPr="007B0EEE">
        <w:rPr>
          <w:rFonts w:asciiTheme="majorHAnsi" w:eastAsia="Gadugi" w:hAnsiTheme="majorHAnsi" w:cstheme="majorHAnsi"/>
          <w:spacing w:val="-1"/>
          <w:sz w:val="28"/>
          <w:lang w:val="fr-CA" w:bidi="fr-CA"/>
        </w:rPr>
        <w:t>de 21,5 </w:t>
      </w:r>
      <w:r w:rsidR="00BA57E8">
        <w:rPr>
          <w:rFonts w:asciiTheme="majorHAnsi" w:eastAsia="Gadugi" w:hAnsiTheme="majorHAnsi" w:cstheme="majorHAnsi"/>
          <w:spacing w:val="-1"/>
          <w:sz w:val="28"/>
          <w:lang w:val="fr-CA" w:bidi="fr-CA"/>
        </w:rPr>
        <w:t xml:space="preserve">millions $ découle de l’ensemble de </w:t>
      </w:r>
      <w:r w:rsidRPr="007B0EEE">
        <w:rPr>
          <w:rFonts w:asciiTheme="majorHAnsi" w:eastAsia="Gadugi" w:hAnsiTheme="majorHAnsi" w:cstheme="majorHAnsi"/>
          <w:spacing w:val="-1"/>
          <w:sz w:val="28"/>
          <w:lang w:val="fr-CA" w:bidi="fr-CA"/>
        </w:rPr>
        <w:t>ces changements survenus depuis l’ajustement du taux de base de la requête en majoration de 2022</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 xml:space="preserve">2023. </w:t>
      </w:r>
    </w:p>
    <w:p w14:paraId="28E46B24" w14:textId="77777777" w:rsidR="00E236F5" w:rsidRPr="007B0EEE" w:rsidRDefault="00E236F5" w:rsidP="004F1F17">
      <w:pPr>
        <w:jc w:val="both"/>
        <w:rPr>
          <w:rFonts w:asciiTheme="majorHAnsi" w:hAnsiTheme="majorHAnsi" w:cstheme="majorHAnsi"/>
          <w:lang w:val="fr-CA"/>
        </w:rPr>
      </w:pPr>
    </w:p>
    <w:p w14:paraId="5773033A" w14:textId="657ACD7D" w:rsidR="00734C20" w:rsidRPr="007B0EEE" w:rsidRDefault="0046349C" w:rsidP="004F1F17">
      <w:pPr>
        <w:jc w:val="both"/>
        <w:rPr>
          <w:rFonts w:asciiTheme="majorHAnsi" w:hAnsiTheme="majorHAnsi" w:cstheme="majorHAnsi"/>
          <w:spacing w:val="-1"/>
          <w:sz w:val="28"/>
          <w:szCs w:val="28"/>
          <w:lang w:val="fr-CA"/>
        </w:rPr>
      </w:pPr>
      <w:r>
        <w:rPr>
          <w:rFonts w:asciiTheme="majorHAnsi" w:eastAsia="Gadugi" w:hAnsiTheme="majorHAnsi" w:cstheme="majorHAnsi"/>
          <w:spacing w:val="-1"/>
          <w:sz w:val="28"/>
          <w:lang w:val="fr-CA" w:bidi="fr-CA"/>
        </w:rPr>
        <w:t>Comm</w:t>
      </w:r>
      <w:r w:rsidR="00734C20" w:rsidRPr="007B0EEE">
        <w:rPr>
          <w:rFonts w:asciiTheme="majorHAnsi" w:eastAsia="Gadugi" w:hAnsiTheme="majorHAnsi" w:cstheme="majorHAnsi"/>
          <w:spacing w:val="-1"/>
          <w:sz w:val="28"/>
          <w:lang w:val="fr-CA" w:bidi="fr-CA"/>
        </w:rPr>
        <w:t>e précédemment énoncé, la Société maintien</w:t>
      </w:r>
      <w:r w:rsidR="00BA57E8">
        <w:rPr>
          <w:rFonts w:asciiTheme="majorHAnsi" w:eastAsia="Gadugi" w:hAnsiTheme="majorHAnsi" w:cstheme="majorHAnsi"/>
          <w:spacing w:val="-1"/>
          <w:sz w:val="28"/>
          <w:lang w:val="fr-CA" w:bidi="fr-CA"/>
        </w:rPr>
        <w:t>drai</w:t>
      </w:r>
      <w:r w:rsidR="00734C20" w:rsidRPr="007B0EEE">
        <w:rPr>
          <w:rFonts w:asciiTheme="majorHAnsi" w:eastAsia="Gadugi" w:hAnsiTheme="majorHAnsi" w:cstheme="majorHAnsi"/>
          <w:spacing w:val="-1"/>
          <w:sz w:val="28"/>
          <w:lang w:val="fr-CA" w:bidi="fr-CA"/>
        </w:rPr>
        <w:t>t sa grille tarifaire pour l’échelle du territoire</w:t>
      </w:r>
      <w:r w:rsidR="00F0085D">
        <w:rPr>
          <w:rFonts w:asciiTheme="majorHAnsi" w:eastAsia="Gadugi" w:hAnsiTheme="majorHAnsi" w:cstheme="majorHAnsi"/>
          <w:spacing w:val="-1"/>
          <w:sz w:val="28"/>
          <w:lang w:val="fr-CA" w:bidi="fr-CA"/>
        </w:rPr>
        <w:t>,</w:t>
      </w:r>
      <w:r w:rsidR="001B4121">
        <w:rPr>
          <w:rFonts w:asciiTheme="majorHAnsi" w:eastAsia="Gadugi" w:hAnsiTheme="majorHAnsi" w:cstheme="majorHAnsi"/>
          <w:spacing w:val="-1"/>
          <w:sz w:val="28"/>
          <w:lang w:val="fr-CA" w:bidi="fr-CA"/>
        </w:rPr>
        <w:t xml:space="preserve"> qui prévoit un même taux </w:t>
      </w:r>
      <w:r w:rsidR="00734C20" w:rsidRPr="007B0EEE">
        <w:rPr>
          <w:rFonts w:asciiTheme="majorHAnsi" w:eastAsia="Gadugi" w:hAnsiTheme="majorHAnsi" w:cstheme="majorHAnsi"/>
          <w:spacing w:val="-1"/>
          <w:sz w:val="28"/>
          <w:lang w:val="fr-CA" w:bidi="fr-CA"/>
        </w:rPr>
        <w:t xml:space="preserve">pour tous les clients d’une classe de tarification donnée sans égard à leur emplacement au Nunavut. </w:t>
      </w:r>
    </w:p>
    <w:p w14:paraId="753C8B38" w14:textId="77777777" w:rsidR="00734C20" w:rsidRPr="007B0EEE" w:rsidRDefault="00734C20" w:rsidP="004F1F17">
      <w:pPr>
        <w:jc w:val="both"/>
        <w:rPr>
          <w:rFonts w:asciiTheme="majorHAnsi" w:hAnsiTheme="majorHAnsi" w:cstheme="majorHAnsi"/>
          <w:spacing w:val="-1"/>
          <w:sz w:val="28"/>
          <w:szCs w:val="28"/>
          <w:lang w:val="fr-CA"/>
        </w:rPr>
      </w:pPr>
    </w:p>
    <w:p w14:paraId="6690972C" w14:textId="55281B93" w:rsidR="00CF612A" w:rsidRPr="007B0EEE" w:rsidRDefault="00734C20" w:rsidP="004F1F17">
      <w:pPr>
        <w:jc w:val="both"/>
        <w:rPr>
          <w:rFonts w:asciiTheme="majorHAnsi" w:hAnsiTheme="majorHAnsi" w:cstheme="majorHAnsi"/>
          <w:spacing w:val="-1"/>
          <w:sz w:val="28"/>
          <w:szCs w:val="28"/>
          <w:lang w:val="fr-CA"/>
        </w:rPr>
      </w:pPr>
      <w:r w:rsidRPr="007B0EEE">
        <w:rPr>
          <w:rFonts w:asciiTheme="majorHAnsi" w:eastAsia="Gadugi" w:hAnsiTheme="majorHAnsi" w:cstheme="majorHAnsi"/>
          <w:spacing w:val="-1"/>
          <w:sz w:val="28"/>
          <w:lang w:val="fr-CA" w:bidi="fr-CA"/>
        </w:rPr>
        <w:t>La Société a proposé de recouvrer le manque à gagner de 21,5 </w:t>
      </w:r>
      <w:r w:rsidR="007B0EEE">
        <w:rPr>
          <w:rFonts w:asciiTheme="majorHAnsi" w:eastAsia="Gadugi" w:hAnsiTheme="majorHAnsi" w:cstheme="majorHAnsi"/>
          <w:spacing w:val="-1"/>
          <w:sz w:val="28"/>
          <w:lang w:val="fr-CA" w:bidi="fr-CA"/>
        </w:rPr>
        <w:t>millions $</w:t>
      </w:r>
      <w:r w:rsidRPr="007B0EEE">
        <w:rPr>
          <w:rFonts w:asciiTheme="majorHAnsi" w:eastAsia="Gadugi" w:hAnsiTheme="majorHAnsi" w:cstheme="majorHAnsi"/>
          <w:spacing w:val="-1"/>
          <w:sz w:val="28"/>
          <w:lang w:val="fr-CA" w:bidi="fr-CA"/>
        </w:rPr>
        <w:t xml:space="preserve"> en majorant les tarifs d’électricité de base, les frais de service à la clientèle et les taux de prime à la puissance. L’augmentation moyenne des tarifs d’électricité de base </w:t>
      </w:r>
      <w:r w:rsidR="001B4121">
        <w:rPr>
          <w:rFonts w:asciiTheme="majorHAnsi" w:eastAsia="Gadugi" w:hAnsiTheme="majorHAnsi" w:cstheme="majorHAnsi"/>
          <w:spacing w:val="-1"/>
          <w:sz w:val="28"/>
          <w:lang w:val="fr-CA" w:bidi="fr-CA"/>
        </w:rPr>
        <w:t>serait</w:t>
      </w:r>
      <w:r w:rsidRPr="007B0EEE">
        <w:rPr>
          <w:rFonts w:asciiTheme="majorHAnsi" w:eastAsia="Gadugi" w:hAnsiTheme="majorHAnsi" w:cstheme="majorHAnsi"/>
          <w:spacing w:val="-1"/>
          <w:sz w:val="28"/>
          <w:lang w:val="fr-CA" w:bidi="fr-CA"/>
        </w:rPr>
        <w:t xml:space="preserve"> de 9,5 %. La proposition prévoit une augmentation des frais de service à la clientèle de 18 $ à 36 $ par mois. Quant aux taux de prime à la puissance, ils passeraient de 8 $ à 16 $ par kilowatt. Pour d’autres renseignements sur les changements aux différentes classes de taux</w:t>
      </w:r>
      <w:r w:rsidR="001B4121">
        <w:rPr>
          <w:rFonts w:asciiTheme="majorHAnsi" w:eastAsia="Gadugi" w:hAnsiTheme="majorHAnsi" w:cstheme="majorHAnsi"/>
          <w:spacing w:val="-1"/>
          <w:sz w:val="28"/>
          <w:lang w:val="fr-CA" w:bidi="fr-CA"/>
        </w:rPr>
        <w:t xml:space="preserve"> </w:t>
      </w:r>
      <w:r w:rsidR="001B4121" w:rsidRPr="007B0EEE">
        <w:rPr>
          <w:rFonts w:asciiTheme="majorHAnsi" w:eastAsia="Gadugi" w:hAnsiTheme="majorHAnsi" w:cstheme="majorHAnsi"/>
          <w:spacing w:val="-1"/>
          <w:sz w:val="28"/>
          <w:lang w:val="fr-CA" w:bidi="fr-CA"/>
        </w:rPr>
        <w:t>qu</w:t>
      </w:r>
      <w:r w:rsidR="001B4121">
        <w:rPr>
          <w:rFonts w:asciiTheme="majorHAnsi" w:eastAsia="Gadugi" w:hAnsiTheme="majorHAnsi" w:cstheme="majorHAnsi"/>
          <w:spacing w:val="-1"/>
          <w:sz w:val="28"/>
          <w:lang w:val="fr-CA" w:bidi="fr-CA"/>
        </w:rPr>
        <w:t>i découleraient d</w:t>
      </w:r>
      <w:r w:rsidR="001B4121" w:rsidRPr="007B0EEE">
        <w:rPr>
          <w:rFonts w:asciiTheme="majorHAnsi" w:eastAsia="Gadugi" w:hAnsiTheme="majorHAnsi" w:cstheme="majorHAnsi"/>
          <w:spacing w:val="-1"/>
          <w:sz w:val="28"/>
          <w:lang w:val="fr-CA" w:bidi="fr-CA"/>
        </w:rPr>
        <w:t>e</w:t>
      </w:r>
      <w:r w:rsidR="0046349C">
        <w:rPr>
          <w:rFonts w:asciiTheme="majorHAnsi" w:eastAsia="Gadugi" w:hAnsiTheme="majorHAnsi" w:cstheme="majorHAnsi"/>
          <w:spacing w:val="-1"/>
          <w:sz w:val="28"/>
          <w:lang w:val="fr-CA" w:bidi="fr-CA"/>
        </w:rPr>
        <w:t xml:space="preserve"> l’acceptation de</w:t>
      </w:r>
      <w:r w:rsidR="001B4121" w:rsidRPr="007B0EEE">
        <w:rPr>
          <w:rFonts w:asciiTheme="majorHAnsi" w:eastAsia="Gadugi" w:hAnsiTheme="majorHAnsi" w:cstheme="majorHAnsi"/>
          <w:spacing w:val="-1"/>
          <w:sz w:val="28"/>
          <w:lang w:val="fr-CA" w:bidi="fr-CA"/>
        </w:rPr>
        <w:t xml:space="preserve"> la présente requête</w:t>
      </w:r>
      <w:r w:rsidRPr="007B0EEE">
        <w:rPr>
          <w:rFonts w:asciiTheme="majorHAnsi" w:eastAsia="Gadugi" w:hAnsiTheme="majorHAnsi" w:cstheme="majorHAnsi"/>
          <w:spacing w:val="-1"/>
          <w:sz w:val="28"/>
          <w:lang w:val="fr-CA" w:bidi="fr-CA"/>
        </w:rPr>
        <w:t>, veuillez consulter le tableau 8.1 (tiré de la requête en majoration tarifaire générale).</w:t>
      </w:r>
    </w:p>
    <w:p w14:paraId="01C9F6FB" w14:textId="77777777" w:rsidR="00B95873" w:rsidRPr="007B0EEE" w:rsidRDefault="00B95873" w:rsidP="004F1F17">
      <w:pPr>
        <w:jc w:val="both"/>
        <w:rPr>
          <w:rFonts w:asciiTheme="majorHAnsi" w:hAnsiTheme="majorHAnsi" w:cstheme="majorHAnsi"/>
          <w:spacing w:val="-1"/>
          <w:sz w:val="28"/>
          <w:szCs w:val="28"/>
          <w:lang w:val="fr-CA"/>
        </w:rPr>
      </w:pPr>
    </w:p>
    <w:p w14:paraId="093C35BC" w14:textId="56811FE1" w:rsidR="00360CEE" w:rsidRPr="007B0EEE" w:rsidRDefault="00B95873" w:rsidP="00820D8D">
      <w:pPr>
        <w:jc w:val="both"/>
        <w:rPr>
          <w:rFonts w:asciiTheme="majorHAnsi" w:hAnsiTheme="majorHAnsi" w:cstheme="majorHAnsi"/>
          <w:spacing w:val="-1"/>
          <w:sz w:val="28"/>
          <w:szCs w:val="28"/>
          <w:lang w:val="fr-CA"/>
        </w:rPr>
      </w:pPr>
      <w:r w:rsidRPr="007B0EEE">
        <w:rPr>
          <w:rFonts w:asciiTheme="majorHAnsi" w:eastAsia="Gadugi" w:hAnsiTheme="majorHAnsi" w:cstheme="majorHAnsi"/>
          <w:spacing w:val="-1"/>
          <w:sz w:val="28"/>
          <w:lang w:val="fr-CA" w:bidi="fr-CA"/>
        </w:rPr>
        <w:t>La Société a estimé les répercussions de la requête en majoration tarifaire générale en supposant des consommations mensuelles de 500 kWh par abonnement résidentiel et de 2</w:t>
      </w:r>
      <w:r w:rsidR="0046349C">
        <w:rPr>
          <w:rFonts w:asciiTheme="majorHAnsi" w:eastAsia="Gadugi" w:hAnsiTheme="majorHAnsi" w:cstheme="majorHAnsi"/>
          <w:spacing w:val="-1"/>
          <w:sz w:val="28"/>
          <w:lang w:val="fr-CA" w:bidi="fr-CA"/>
        </w:rPr>
        <w:t> </w:t>
      </w:r>
      <w:r w:rsidRPr="007B0EEE">
        <w:rPr>
          <w:rFonts w:asciiTheme="majorHAnsi" w:eastAsia="Gadugi" w:hAnsiTheme="majorHAnsi" w:cstheme="majorHAnsi"/>
          <w:spacing w:val="-1"/>
          <w:sz w:val="28"/>
          <w:lang w:val="fr-CA" w:bidi="fr-CA"/>
        </w:rPr>
        <w:t>000</w:t>
      </w:r>
      <w:r w:rsidR="0046349C">
        <w:rPr>
          <w:rFonts w:asciiTheme="majorHAnsi" w:eastAsia="Gadugi" w:hAnsiTheme="majorHAnsi" w:cstheme="majorHAnsi"/>
          <w:spacing w:val="-1"/>
          <w:sz w:val="28"/>
          <w:lang w:val="fr-CA" w:bidi="fr-CA"/>
        </w:rPr>
        <w:t> </w:t>
      </w:r>
      <w:r w:rsidRPr="007B0EEE">
        <w:rPr>
          <w:rFonts w:asciiTheme="majorHAnsi" w:eastAsia="Gadugi" w:hAnsiTheme="majorHAnsi" w:cstheme="majorHAnsi"/>
          <w:spacing w:val="-1"/>
          <w:sz w:val="28"/>
          <w:lang w:val="fr-CA" w:bidi="fr-CA"/>
        </w:rPr>
        <w:t xml:space="preserve">kWh par abonnement commercial. </w:t>
      </w:r>
      <w:r w:rsidR="001B4121">
        <w:rPr>
          <w:rFonts w:asciiTheme="majorHAnsi" w:eastAsia="Gadugi" w:hAnsiTheme="majorHAnsi" w:cstheme="majorHAnsi"/>
          <w:spacing w:val="-1"/>
          <w:sz w:val="28"/>
          <w:lang w:val="fr-CA" w:bidi="fr-CA"/>
        </w:rPr>
        <w:t>Dressé à partir de ces suppositions,</w:t>
      </w:r>
      <w:r w:rsidRPr="007B0EEE">
        <w:rPr>
          <w:rFonts w:asciiTheme="majorHAnsi" w:eastAsia="Gadugi" w:hAnsiTheme="majorHAnsi" w:cstheme="majorHAnsi"/>
          <w:spacing w:val="-1"/>
          <w:sz w:val="28"/>
          <w:lang w:val="fr-CA" w:bidi="fr-CA"/>
        </w:rPr>
        <w:t xml:space="preserve"> le tableau 8.2 (ci</w:t>
      </w:r>
      <w:r w:rsidR="009F2723">
        <w:rPr>
          <w:rFonts w:asciiTheme="majorHAnsi" w:eastAsia="Gadugi" w:hAnsiTheme="majorHAnsi" w:cstheme="majorHAnsi"/>
          <w:spacing w:val="-1"/>
          <w:sz w:val="28"/>
          <w:lang w:val="fr-CA" w:bidi="fr-CA"/>
        </w:rPr>
        <w:noBreakHyphen/>
      </w:r>
      <w:r w:rsidRPr="007B0EEE">
        <w:rPr>
          <w:rFonts w:asciiTheme="majorHAnsi" w:eastAsia="Gadugi" w:hAnsiTheme="majorHAnsi" w:cstheme="majorHAnsi"/>
          <w:spacing w:val="-1"/>
          <w:sz w:val="28"/>
          <w:lang w:val="fr-CA" w:bidi="fr-CA"/>
        </w:rPr>
        <w:t>dessous)</w:t>
      </w:r>
      <w:r w:rsidR="001B4121">
        <w:rPr>
          <w:rFonts w:asciiTheme="majorHAnsi" w:eastAsia="Gadugi" w:hAnsiTheme="majorHAnsi" w:cstheme="majorHAnsi"/>
          <w:spacing w:val="-1"/>
          <w:sz w:val="28"/>
          <w:lang w:val="fr-CA" w:bidi="fr-CA"/>
        </w:rPr>
        <w:t xml:space="preserve"> annexé </w:t>
      </w:r>
      <w:r w:rsidR="0046349C">
        <w:rPr>
          <w:rFonts w:asciiTheme="majorHAnsi" w:eastAsia="Gadugi" w:hAnsiTheme="majorHAnsi" w:cstheme="majorHAnsi"/>
          <w:spacing w:val="-1"/>
          <w:sz w:val="28"/>
          <w:lang w:val="fr-CA" w:bidi="fr-CA"/>
        </w:rPr>
        <w:t xml:space="preserve">par la Société </w:t>
      </w:r>
      <w:r w:rsidR="001B4121">
        <w:rPr>
          <w:rFonts w:asciiTheme="majorHAnsi" w:eastAsia="Gadugi" w:hAnsiTheme="majorHAnsi" w:cstheme="majorHAnsi"/>
          <w:spacing w:val="-1"/>
          <w:sz w:val="28"/>
          <w:lang w:val="fr-CA" w:bidi="fr-CA"/>
        </w:rPr>
        <w:t xml:space="preserve">à la requête </w:t>
      </w:r>
      <w:r w:rsidRPr="007B0EEE">
        <w:rPr>
          <w:rFonts w:asciiTheme="majorHAnsi" w:eastAsia="Gadugi" w:hAnsiTheme="majorHAnsi" w:cstheme="majorHAnsi"/>
          <w:spacing w:val="-1"/>
          <w:sz w:val="28"/>
          <w:lang w:val="fr-CA" w:bidi="fr-CA"/>
        </w:rPr>
        <w:t>illustre</w:t>
      </w:r>
      <w:r w:rsidR="0046349C">
        <w:rPr>
          <w:rFonts w:asciiTheme="majorHAnsi" w:eastAsia="Gadugi" w:hAnsiTheme="majorHAnsi" w:cstheme="majorHAnsi"/>
          <w:spacing w:val="-1"/>
          <w:sz w:val="28"/>
          <w:lang w:val="fr-CA" w:bidi="fr-CA"/>
        </w:rPr>
        <w:t xml:space="preserve"> </w:t>
      </w:r>
      <w:r w:rsidRPr="007B0EEE">
        <w:rPr>
          <w:rFonts w:asciiTheme="majorHAnsi" w:eastAsia="Gadugi" w:hAnsiTheme="majorHAnsi" w:cstheme="majorHAnsi"/>
          <w:spacing w:val="-1"/>
          <w:sz w:val="28"/>
          <w:lang w:val="fr-CA" w:bidi="fr-CA"/>
        </w:rPr>
        <w:t xml:space="preserve">les répercussions qu’aurait </w:t>
      </w:r>
      <w:r w:rsidR="001B4121">
        <w:rPr>
          <w:rFonts w:asciiTheme="majorHAnsi" w:eastAsia="Gadugi" w:hAnsiTheme="majorHAnsi" w:cstheme="majorHAnsi"/>
          <w:spacing w:val="-1"/>
          <w:sz w:val="28"/>
          <w:lang w:val="fr-CA" w:bidi="fr-CA"/>
        </w:rPr>
        <w:t xml:space="preserve">l’acceptation de </w:t>
      </w:r>
      <w:r w:rsidRPr="007B0EEE">
        <w:rPr>
          <w:rFonts w:asciiTheme="majorHAnsi" w:eastAsia="Gadugi" w:hAnsiTheme="majorHAnsi" w:cstheme="majorHAnsi"/>
          <w:spacing w:val="-1"/>
          <w:sz w:val="28"/>
          <w:lang w:val="fr-CA" w:bidi="fr-CA"/>
        </w:rPr>
        <w:t>la requête en majoration tarifaire générale.</w:t>
      </w:r>
    </w:p>
    <w:p w14:paraId="55A611AE" w14:textId="77777777" w:rsidR="00360CEE" w:rsidRPr="007B0EEE" w:rsidRDefault="00360CEE" w:rsidP="00360CEE">
      <w:pPr>
        <w:rPr>
          <w:rFonts w:asciiTheme="majorHAnsi" w:hAnsiTheme="majorHAnsi" w:cstheme="majorHAnsi"/>
          <w:spacing w:val="-1"/>
          <w:sz w:val="28"/>
          <w:szCs w:val="28"/>
          <w:lang w:val="fr-CA"/>
        </w:rPr>
      </w:pPr>
    </w:p>
    <w:p w14:paraId="5D651928" w14:textId="77777777" w:rsidR="003A2565" w:rsidRPr="007B0EEE" w:rsidRDefault="003A2565" w:rsidP="00360CEE">
      <w:pPr>
        <w:rPr>
          <w:rFonts w:asciiTheme="majorHAnsi" w:hAnsiTheme="majorHAnsi" w:cstheme="majorHAnsi"/>
          <w:spacing w:val="-1"/>
          <w:sz w:val="28"/>
          <w:szCs w:val="28"/>
          <w:lang w:val="fr-CA"/>
        </w:rPr>
      </w:pPr>
    </w:p>
    <w:p w14:paraId="7D3AA4B2" w14:textId="05AC97FC" w:rsidR="003A2565" w:rsidRPr="007B0EEE" w:rsidRDefault="003A2565" w:rsidP="001B4121">
      <w:pPr>
        <w:ind w:left="740"/>
        <w:jc w:val="center"/>
        <w:rPr>
          <w:rFonts w:asciiTheme="majorHAnsi" w:hAnsiTheme="majorHAnsi" w:cstheme="majorHAnsi"/>
          <w:b/>
          <w:spacing w:val="-1"/>
          <w:sz w:val="28"/>
          <w:szCs w:val="28"/>
          <w:lang w:val="ca-ES"/>
        </w:rPr>
      </w:pPr>
      <w:r w:rsidRPr="007B0EEE">
        <w:rPr>
          <w:rFonts w:asciiTheme="majorHAnsi" w:eastAsia="Gadugi" w:hAnsiTheme="majorHAnsi" w:cstheme="majorHAnsi"/>
          <w:b/>
          <w:spacing w:val="-1"/>
          <w:sz w:val="28"/>
          <w:lang w:val="fr-CA" w:bidi="fr-CA"/>
        </w:rPr>
        <w:t>Tableau 8.2. :</w:t>
      </w:r>
      <w:r w:rsidR="001B4121">
        <w:rPr>
          <w:rFonts w:asciiTheme="majorHAnsi" w:eastAsia="Gadugi" w:hAnsiTheme="majorHAnsi" w:cstheme="majorHAnsi"/>
          <w:b/>
          <w:spacing w:val="-1"/>
          <w:sz w:val="28"/>
          <w:lang w:val="fr-CA" w:bidi="fr-CA"/>
        </w:rPr>
        <w:t xml:space="preserve"> </w:t>
      </w:r>
      <w:r w:rsidRPr="007B0EEE">
        <w:rPr>
          <w:rFonts w:asciiTheme="majorHAnsi" w:eastAsia="Gadugi" w:hAnsiTheme="majorHAnsi" w:cstheme="majorHAnsi"/>
          <w:b/>
          <w:spacing w:val="-1"/>
          <w:sz w:val="28"/>
          <w:lang w:val="fr-CA" w:bidi="fr-CA"/>
        </w:rPr>
        <w:t>Répercussions d</w:t>
      </w:r>
      <w:r w:rsidR="0046349C">
        <w:rPr>
          <w:rFonts w:asciiTheme="majorHAnsi" w:eastAsia="Gadugi" w:hAnsiTheme="majorHAnsi" w:cstheme="majorHAnsi"/>
          <w:b/>
          <w:spacing w:val="-1"/>
          <w:sz w:val="28"/>
          <w:lang w:val="fr-CA" w:bidi="fr-CA"/>
        </w:rPr>
        <w:t>e</w:t>
      </w:r>
      <w:r w:rsidR="001B4121">
        <w:rPr>
          <w:rFonts w:asciiTheme="majorHAnsi" w:eastAsia="Gadugi" w:hAnsiTheme="majorHAnsi" w:cstheme="majorHAnsi"/>
          <w:b/>
          <w:spacing w:val="-1"/>
          <w:sz w:val="28"/>
          <w:lang w:val="fr-CA" w:bidi="fr-CA"/>
        </w:rPr>
        <w:t xml:space="preserve"> la</w:t>
      </w:r>
      <w:r w:rsidRPr="007B0EEE">
        <w:rPr>
          <w:rFonts w:asciiTheme="majorHAnsi" w:eastAsia="Gadugi" w:hAnsiTheme="majorHAnsi" w:cstheme="majorHAnsi"/>
          <w:b/>
          <w:spacing w:val="-1"/>
          <w:sz w:val="28"/>
          <w:lang w:val="fr-CA" w:bidi="fr-CA"/>
        </w:rPr>
        <w:t xml:space="preserve"> majoration tarifaire générale </w:t>
      </w:r>
      <w:r w:rsidR="001B4121">
        <w:rPr>
          <w:rFonts w:asciiTheme="majorHAnsi" w:eastAsia="Gadugi" w:hAnsiTheme="majorHAnsi" w:cstheme="majorHAnsi"/>
          <w:b/>
          <w:spacing w:val="-1"/>
          <w:sz w:val="28"/>
          <w:lang w:val="fr-CA" w:bidi="fr-CA"/>
        </w:rPr>
        <w:t xml:space="preserve">proposée </w:t>
      </w:r>
      <w:r w:rsidR="001B4121">
        <w:rPr>
          <w:rFonts w:asciiTheme="majorHAnsi" w:eastAsia="Gadugi" w:hAnsiTheme="majorHAnsi" w:cstheme="majorHAnsi"/>
          <w:b/>
          <w:spacing w:val="-1"/>
          <w:sz w:val="28"/>
          <w:lang w:val="fr-CA" w:bidi="fr-CA"/>
        </w:rPr>
        <w:lastRenderedPageBreak/>
        <w:t>pour</w:t>
      </w:r>
      <w:r w:rsidRPr="007B0EEE">
        <w:rPr>
          <w:rFonts w:asciiTheme="majorHAnsi" w:eastAsia="Gadugi" w:hAnsiTheme="majorHAnsi" w:cstheme="majorHAnsi"/>
          <w:b/>
          <w:spacing w:val="-1"/>
          <w:sz w:val="28"/>
          <w:lang w:val="fr-CA" w:bidi="fr-CA"/>
        </w:rPr>
        <w:t> 2025</w:t>
      </w:r>
      <w:r w:rsidR="009F2723">
        <w:rPr>
          <w:rFonts w:asciiTheme="majorHAnsi" w:eastAsia="Gadugi" w:hAnsiTheme="majorHAnsi" w:cstheme="majorHAnsi"/>
          <w:b/>
          <w:spacing w:val="-1"/>
          <w:sz w:val="28"/>
          <w:lang w:val="fr-CA" w:bidi="fr-CA"/>
        </w:rPr>
        <w:noBreakHyphen/>
      </w:r>
      <w:r w:rsidRPr="007B0EEE">
        <w:rPr>
          <w:rFonts w:asciiTheme="majorHAnsi" w:eastAsia="Gadugi" w:hAnsiTheme="majorHAnsi" w:cstheme="majorHAnsi"/>
          <w:b/>
          <w:spacing w:val="-1"/>
          <w:sz w:val="28"/>
          <w:lang w:val="fr-CA" w:bidi="fr-CA"/>
        </w:rPr>
        <w:t xml:space="preserve">2026 sur </w:t>
      </w:r>
      <w:r w:rsidR="001B4121">
        <w:rPr>
          <w:rFonts w:asciiTheme="majorHAnsi" w:eastAsia="Gadugi" w:hAnsiTheme="majorHAnsi" w:cstheme="majorHAnsi"/>
          <w:b/>
          <w:spacing w:val="-1"/>
          <w:sz w:val="28"/>
          <w:lang w:val="fr-CA" w:bidi="fr-CA"/>
        </w:rPr>
        <w:t>une</w:t>
      </w:r>
      <w:r w:rsidR="001B4121" w:rsidRPr="007B0EEE">
        <w:rPr>
          <w:rFonts w:asciiTheme="majorHAnsi" w:eastAsia="Gadugi" w:hAnsiTheme="majorHAnsi" w:cstheme="majorHAnsi"/>
          <w:b/>
          <w:spacing w:val="-1"/>
          <w:sz w:val="28"/>
          <w:lang w:val="fr-CA" w:bidi="fr-CA"/>
        </w:rPr>
        <w:t xml:space="preserve"> </w:t>
      </w:r>
      <w:r w:rsidRPr="007B0EEE">
        <w:rPr>
          <w:rFonts w:asciiTheme="majorHAnsi" w:eastAsia="Gadugi" w:hAnsiTheme="majorHAnsi" w:cstheme="majorHAnsi"/>
          <w:b/>
          <w:spacing w:val="-1"/>
          <w:sz w:val="28"/>
          <w:lang w:val="fr-CA" w:bidi="fr-CA"/>
        </w:rPr>
        <w:t>facture</w:t>
      </w:r>
    </w:p>
    <w:p w14:paraId="4DCD49B5" w14:textId="77777777" w:rsidR="003A2565" w:rsidRPr="007B0EEE" w:rsidRDefault="003A2565" w:rsidP="003A2565">
      <w:pPr>
        <w:rPr>
          <w:rFonts w:asciiTheme="majorHAnsi" w:hAnsiTheme="majorHAnsi" w:cstheme="majorHAnsi"/>
          <w:b/>
          <w:spacing w:val="-1"/>
          <w:sz w:val="28"/>
          <w:szCs w:val="28"/>
          <w:lang w:val="ca-ES"/>
        </w:rPr>
      </w:pPr>
    </w:p>
    <w:tbl>
      <w:tblPr>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3"/>
        <w:gridCol w:w="2563"/>
      </w:tblGrid>
      <w:tr w:rsidR="003A2565" w:rsidRPr="00A30BDF" w14:paraId="084A51C2" w14:textId="77777777" w:rsidTr="00820D8D">
        <w:trPr>
          <w:trHeight w:val="868"/>
        </w:trPr>
        <w:tc>
          <w:tcPr>
            <w:tcW w:w="3853" w:type="dxa"/>
          </w:tcPr>
          <w:p w14:paraId="57918722" w14:textId="77777777" w:rsidR="003A2565" w:rsidRPr="007B0EEE" w:rsidRDefault="003A2565" w:rsidP="003A2565">
            <w:pPr>
              <w:rPr>
                <w:rFonts w:asciiTheme="majorHAnsi" w:hAnsiTheme="majorHAnsi" w:cstheme="majorHAnsi"/>
                <w:spacing w:val="-1"/>
                <w:sz w:val="28"/>
                <w:szCs w:val="28"/>
                <w:lang w:val="ca-ES"/>
              </w:rPr>
            </w:pPr>
          </w:p>
        </w:tc>
        <w:tc>
          <w:tcPr>
            <w:tcW w:w="2563" w:type="dxa"/>
          </w:tcPr>
          <w:p w14:paraId="04FA1027" w14:textId="2F12A3E3" w:rsidR="003A2565" w:rsidRPr="007B0EEE" w:rsidRDefault="003A2565" w:rsidP="003A2565">
            <w:pPr>
              <w:rPr>
                <w:rFonts w:asciiTheme="majorHAnsi" w:hAnsiTheme="majorHAnsi" w:cstheme="majorHAnsi"/>
                <w:b/>
                <w:spacing w:val="-1"/>
                <w:sz w:val="28"/>
                <w:szCs w:val="28"/>
                <w:lang w:val="ca-ES"/>
              </w:rPr>
            </w:pPr>
            <w:r w:rsidRPr="007B0EEE">
              <w:rPr>
                <w:rFonts w:asciiTheme="majorHAnsi" w:eastAsia="Gadugi" w:hAnsiTheme="majorHAnsi" w:cstheme="majorHAnsi"/>
                <w:b/>
                <w:spacing w:val="-1"/>
                <w:sz w:val="28"/>
                <w:lang w:val="fr-CA" w:bidi="fr-CA"/>
              </w:rPr>
              <w:t xml:space="preserve">Modifications moyennes </w:t>
            </w:r>
            <w:r w:rsidR="00A30BDF">
              <w:rPr>
                <w:rFonts w:asciiTheme="majorHAnsi" w:eastAsia="Gadugi" w:hAnsiTheme="majorHAnsi" w:cstheme="majorHAnsi"/>
                <w:b/>
                <w:spacing w:val="-1"/>
                <w:sz w:val="28"/>
                <w:lang w:val="fr-CA" w:bidi="fr-CA"/>
              </w:rPr>
              <w:t>sur une facture</w:t>
            </w:r>
          </w:p>
        </w:tc>
      </w:tr>
      <w:tr w:rsidR="003A2565" w:rsidRPr="007B0EEE" w14:paraId="241976B3" w14:textId="77777777" w:rsidTr="00820D8D">
        <w:trPr>
          <w:trHeight w:val="613"/>
        </w:trPr>
        <w:tc>
          <w:tcPr>
            <w:tcW w:w="3853" w:type="dxa"/>
          </w:tcPr>
          <w:p w14:paraId="7AABB8DB" w14:textId="485A0674"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Tarif résidentiel non gouvernemental</w:t>
            </w:r>
            <w:r w:rsidR="001B4121">
              <w:rPr>
                <w:rFonts w:asciiTheme="majorHAnsi" w:eastAsia="Gadugi" w:hAnsiTheme="majorHAnsi" w:cstheme="majorHAnsi"/>
                <w:spacing w:val="-1"/>
                <w:sz w:val="28"/>
                <w:lang w:val="fr-CA" w:bidi="fr-CA"/>
              </w:rPr>
              <w:t xml:space="preserve">, </w:t>
            </w:r>
            <w:r w:rsidRPr="007B0EEE">
              <w:rPr>
                <w:rFonts w:asciiTheme="majorHAnsi" w:eastAsia="Gadugi" w:hAnsiTheme="majorHAnsi" w:cstheme="majorHAnsi"/>
                <w:spacing w:val="-1"/>
                <w:sz w:val="28"/>
                <w:lang w:val="fr-CA" w:bidi="fr-CA"/>
              </w:rPr>
              <w:t>admissible au Programme de subvention du cout de l’électricité au Nunavut</w:t>
            </w:r>
          </w:p>
        </w:tc>
        <w:tc>
          <w:tcPr>
            <w:tcW w:w="2563" w:type="dxa"/>
          </w:tcPr>
          <w:p w14:paraId="28DF930F" w14:textId="77777777"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Hausse de 7,4 % (13,60 $)</w:t>
            </w:r>
          </w:p>
        </w:tc>
      </w:tr>
      <w:tr w:rsidR="003A2565" w:rsidRPr="007B0EEE" w14:paraId="299B01C1" w14:textId="77777777" w:rsidTr="00820D8D">
        <w:trPr>
          <w:trHeight w:val="827"/>
        </w:trPr>
        <w:tc>
          <w:tcPr>
            <w:tcW w:w="3853" w:type="dxa"/>
          </w:tcPr>
          <w:p w14:paraId="0791F6F9" w14:textId="3D160B91"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Tarif du client percepteur de taxes municipales et tarif résidentiel non gouvernemental</w:t>
            </w:r>
            <w:r w:rsidR="001B4121">
              <w:rPr>
                <w:rFonts w:asciiTheme="majorHAnsi" w:eastAsia="Gadugi" w:hAnsiTheme="majorHAnsi" w:cstheme="majorHAnsi"/>
                <w:spacing w:val="-1"/>
                <w:sz w:val="28"/>
                <w:lang w:val="fr-CA" w:bidi="fr-CA"/>
              </w:rPr>
              <w:t>,</w:t>
            </w:r>
            <w:r w:rsidRPr="007B0EEE">
              <w:rPr>
                <w:rFonts w:asciiTheme="majorHAnsi" w:eastAsia="Gadugi" w:hAnsiTheme="majorHAnsi" w:cstheme="majorHAnsi"/>
                <w:spacing w:val="-1"/>
                <w:sz w:val="28"/>
                <w:lang w:val="fr-CA" w:bidi="fr-CA"/>
              </w:rPr>
              <w:t xml:space="preserve"> non subventionné</w:t>
            </w:r>
          </w:p>
        </w:tc>
        <w:tc>
          <w:tcPr>
            <w:tcW w:w="2563" w:type="dxa"/>
          </w:tcPr>
          <w:p w14:paraId="05BC732C" w14:textId="77777777"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Augmentation de 14,0 % (53,30 $)</w:t>
            </w:r>
          </w:p>
        </w:tc>
      </w:tr>
      <w:tr w:rsidR="003A2565" w:rsidRPr="007B0EEE" w14:paraId="2C68EAB0" w14:textId="77777777" w:rsidTr="00820D8D">
        <w:trPr>
          <w:trHeight w:val="822"/>
        </w:trPr>
        <w:tc>
          <w:tcPr>
            <w:tcW w:w="3853" w:type="dxa"/>
          </w:tcPr>
          <w:p w14:paraId="3A9F0761" w14:textId="77777777"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Tarif résidentiel gouvernemental</w:t>
            </w:r>
          </w:p>
        </w:tc>
        <w:tc>
          <w:tcPr>
            <w:tcW w:w="2563" w:type="dxa"/>
          </w:tcPr>
          <w:p w14:paraId="01EAEBE9" w14:textId="77777777"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Augmentation de 12,6 % (70,70 $)</w:t>
            </w:r>
          </w:p>
        </w:tc>
      </w:tr>
      <w:tr w:rsidR="003A2565" w:rsidRPr="007B0EEE" w14:paraId="26A4CBA0" w14:textId="77777777" w:rsidTr="00820D8D">
        <w:trPr>
          <w:trHeight w:val="827"/>
        </w:trPr>
        <w:tc>
          <w:tcPr>
            <w:tcW w:w="3853" w:type="dxa"/>
          </w:tcPr>
          <w:p w14:paraId="50003FC0" w14:textId="77777777"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Tarif du client percepteur de taxes municipales et tarif commercial non gouvernemental</w:t>
            </w:r>
          </w:p>
        </w:tc>
        <w:tc>
          <w:tcPr>
            <w:tcW w:w="2563" w:type="dxa"/>
          </w:tcPr>
          <w:p w14:paraId="349A831D" w14:textId="77777777"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Augmentation de 12,6 % (155,90 $)</w:t>
            </w:r>
          </w:p>
        </w:tc>
      </w:tr>
      <w:tr w:rsidR="003A2565" w:rsidRPr="007B0EEE" w14:paraId="31C9908F" w14:textId="77777777" w:rsidTr="00820D8D">
        <w:trPr>
          <w:trHeight w:val="803"/>
        </w:trPr>
        <w:tc>
          <w:tcPr>
            <w:tcW w:w="3853" w:type="dxa"/>
          </w:tcPr>
          <w:p w14:paraId="1B2475AB" w14:textId="77777777"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Tarif commercial gouvernemental</w:t>
            </w:r>
          </w:p>
        </w:tc>
        <w:tc>
          <w:tcPr>
            <w:tcW w:w="2563" w:type="dxa"/>
          </w:tcPr>
          <w:p w14:paraId="60C2F1F8" w14:textId="77777777" w:rsidR="003A2565" w:rsidRPr="007B0EEE" w:rsidRDefault="003A2565" w:rsidP="003A2565">
            <w:pPr>
              <w:rPr>
                <w:rFonts w:asciiTheme="majorHAnsi" w:hAnsiTheme="majorHAnsi" w:cstheme="majorHAnsi"/>
                <w:spacing w:val="-1"/>
                <w:sz w:val="28"/>
                <w:szCs w:val="28"/>
                <w:lang w:val="ca-ES"/>
              </w:rPr>
            </w:pPr>
            <w:r w:rsidRPr="007B0EEE">
              <w:rPr>
                <w:rFonts w:asciiTheme="majorHAnsi" w:eastAsia="Gadugi" w:hAnsiTheme="majorHAnsi" w:cstheme="majorHAnsi"/>
                <w:spacing w:val="-1"/>
                <w:sz w:val="28"/>
                <w:lang w:val="fr-CA" w:bidi="fr-CA"/>
              </w:rPr>
              <w:t>Augmentation de 11,4 % (235,30 $)</w:t>
            </w:r>
          </w:p>
        </w:tc>
      </w:tr>
    </w:tbl>
    <w:p w14:paraId="09B007EB" w14:textId="77777777" w:rsidR="003A2565" w:rsidRPr="007B0EEE" w:rsidRDefault="003A2565" w:rsidP="00360CEE">
      <w:pPr>
        <w:rPr>
          <w:rFonts w:asciiTheme="majorHAnsi" w:hAnsiTheme="majorHAnsi" w:cstheme="majorHAnsi"/>
          <w:spacing w:val="-1"/>
          <w:sz w:val="28"/>
          <w:szCs w:val="28"/>
          <w:lang w:val="en-CA"/>
        </w:rPr>
      </w:pPr>
    </w:p>
    <w:p w14:paraId="130E0A3D" w14:textId="53DEB5EC" w:rsidR="004F1F17" w:rsidRPr="007B0EEE" w:rsidRDefault="004F1F17" w:rsidP="004F1F17">
      <w:pPr>
        <w:rPr>
          <w:rFonts w:asciiTheme="majorHAnsi" w:hAnsiTheme="majorHAnsi" w:cstheme="majorHAnsi"/>
        </w:rPr>
      </w:pPr>
    </w:p>
    <w:p w14:paraId="321FD8C7" w14:textId="77777777" w:rsidR="00BB60C5" w:rsidRDefault="00BB60C5">
      <w:pPr>
        <w:widowControl/>
        <w:spacing w:after="160" w:line="259" w:lineRule="auto"/>
        <w:rPr>
          <w:rFonts w:asciiTheme="majorHAnsi" w:hAnsiTheme="majorHAnsi" w:cstheme="majorHAnsi"/>
          <w:b/>
          <w:spacing w:val="-1"/>
          <w:sz w:val="28"/>
          <w:szCs w:val="28"/>
          <w:lang w:val="fr-CA"/>
        </w:rPr>
      </w:pPr>
      <w:r>
        <w:rPr>
          <w:rFonts w:asciiTheme="majorHAnsi" w:hAnsiTheme="majorHAnsi" w:cstheme="majorHAnsi"/>
          <w:b/>
          <w:spacing w:val="-1"/>
          <w:sz w:val="28"/>
          <w:szCs w:val="28"/>
        </w:rPr>
        <w:br w:type="page"/>
      </w:r>
    </w:p>
    <w:p w14:paraId="7CA845C8" w14:textId="04E0761D" w:rsidR="004F1F17" w:rsidRPr="007B0EEE" w:rsidRDefault="000E6F60" w:rsidP="00FC26AE">
      <w:pPr>
        <w:pStyle w:val="Default"/>
        <w:jc w:val="both"/>
        <w:rPr>
          <w:rFonts w:asciiTheme="majorHAnsi" w:hAnsiTheme="majorHAnsi" w:cstheme="majorHAnsi"/>
          <w:b/>
          <w:color w:val="auto"/>
          <w:spacing w:val="-1"/>
          <w:sz w:val="28"/>
          <w:szCs w:val="28"/>
        </w:rPr>
      </w:pPr>
      <w:r w:rsidRPr="007B0EEE">
        <w:rPr>
          <w:rFonts w:asciiTheme="majorHAnsi" w:eastAsia="Gadugi" w:hAnsiTheme="majorHAnsi" w:cstheme="majorHAnsi"/>
          <w:b/>
          <w:color w:val="auto"/>
          <w:spacing w:val="-1"/>
          <w:sz w:val="28"/>
          <w:lang w:bidi="fr-CA"/>
        </w:rPr>
        <w:lastRenderedPageBreak/>
        <w:t>Processus</w:t>
      </w:r>
    </w:p>
    <w:p w14:paraId="7A73B389" w14:textId="1842BC15" w:rsidR="0033223F" w:rsidRPr="007B0EEE" w:rsidRDefault="0033223F" w:rsidP="0033223F">
      <w:pPr>
        <w:pStyle w:val="Default"/>
        <w:jc w:val="both"/>
        <w:rPr>
          <w:rFonts w:asciiTheme="majorHAnsi" w:hAnsiTheme="majorHAnsi" w:cstheme="majorHAnsi"/>
          <w:sz w:val="28"/>
          <w:szCs w:val="28"/>
        </w:rPr>
      </w:pPr>
      <w:r w:rsidRPr="007B0EEE">
        <w:rPr>
          <w:rFonts w:asciiTheme="majorHAnsi" w:eastAsia="Gadugi" w:hAnsiTheme="majorHAnsi" w:cstheme="majorHAnsi"/>
          <w:sz w:val="28"/>
          <w:lang w:bidi="fr-CA"/>
        </w:rPr>
        <w:t>Afin de bien comprendre les besoins en revenus de la Société et les tarifs proposés par celle</w:t>
      </w:r>
      <w:r w:rsidR="009F2723">
        <w:rPr>
          <w:rFonts w:asciiTheme="majorHAnsi" w:eastAsia="Gadugi" w:hAnsiTheme="majorHAnsi" w:cstheme="majorHAnsi"/>
          <w:sz w:val="28"/>
          <w:lang w:bidi="fr-CA"/>
        </w:rPr>
        <w:noBreakHyphen/>
      </w:r>
      <w:r w:rsidRPr="007B0EEE">
        <w:rPr>
          <w:rFonts w:asciiTheme="majorHAnsi" w:eastAsia="Gadugi" w:hAnsiTheme="majorHAnsi" w:cstheme="majorHAnsi"/>
          <w:sz w:val="28"/>
          <w:lang w:bidi="fr-CA"/>
        </w:rPr>
        <w:t xml:space="preserve">ci, le Conseil prévoit dans son étude un processus par lequel il </w:t>
      </w:r>
      <w:r w:rsidR="001B4121">
        <w:rPr>
          <w:rFonts w:asciiTheme="majorHAnsi" w:eastAsia="Gadugi" w:hAnsiTheme="majorHAnsi" w:cstheme="majorHAnsi"/>
          <w:sz w:val="28"/>
          <w:lang w:bidi="fr-CA"/>
        </w:rPr>
        <w:t>pourra obtenir de la Société</w:t>
      </w:r>
      <w:r w:rsidR="001B4121" w:rsidRPr="007B0EEE">
        <w:rPr>
          <w:rFonts w:asciiTheme="majorHAnsi" w:eastAsia="Gadugi" w:hAnsiTheme="majorHAnsi" w:cstheme="majorHAnsi"/>
          <w:sz w:val="28"/>
          <w:lang w:bidi="fr-CA"/>
        </w:rPr>
        <w:t xml:space="preserve"> </w:t>
      </w:r>
      <w:r w:rsidRPr="007B0EEE">
        <w:rPr>
          <w:rFonts w:asciiTheme="majorHAnsi" w:eastAsia="Gadugi" w:hAnsiTheme="majorHAnsi" w:cstheme="majorHAnsi"/>
          <w:sz w:val="28"/>
          <w:lang w:bidi="fr-CA"/>
        </w:rPr>
        <w:t xml:space="preserve">des renseignements </w:t>
      </w:r>
      <w:r w:rsidR="001B4121">
        <w:rPr>
          <w:rFonts w:asciiTheme="majorHAnsi" w:eastAsia="Gadugi" w:hAnsiTheme="majorHAnsi" w:cstheme="majorHAnsi"/>
          <w:sz w:val="28"/>
          <w:lang w:bidi="fr-CA"/>
        </w:rPr>
        <w:t>supplémentaires</w:t>
      </w:r>
      <w:r w:rsidRPr="007B0EEE">
        <w:rPr>
          <w:rFonts w:asciiTheme="majorHAnsi" w:eastAsia="Gadugi" w:hAnsiTheme="majorHAnsi" w:cstheme="majorHAnsi"/>
          <w:sz w:val="28"/>
          <w:lang w:bidi="fr-CA"/>
        </w:rPr>
        <w:t xml:space="preserve">. Par ailleurs, le Conseil aimerait connaitre l’opinion de la clientèle de la Société ainsi que des parties intéressées concernant cette requête, le cas échéant. Il prendra en considération les observations écrites </w:t>
      </w:r>
      <w:r w:rsidR="001B4121">
        <w:rPr>
          <w:rFonts w:asciiTheme="majorHAnsi" w:eastAsia="Gadugi" w:hAnsiTheme="majorHAnsi" w:cstheme="majorHAnsi"/>
          <w:sz w:val="28"/>
          <w:lang w:bidi="fr-CA"/>
        </w:rPr>
        <w:t>s’y rattachant</w:t>
      </w:r>
      <w:r w:rsidRPr="007B0EEE">
        <w:rPr>
          <w:rFonts w:asciiTheme="majorHAnsi" w:eastAsia="Gadugi" w:hAnsiTheme="majorHAnsi" w:cstheme="majorHAnsi"/>
          <w:sz w:val="28"/>
          <w:lang w:bidi="fr-CA"/>
        </w:rPr>
        <w:t xml:space="preserve"> ainsi que les réponses reçues de la Société à celles</w:t>
      </w:r>
      <w:r w:rsidR="009F2723">
        <w:rPr>
          <w:rFonts w:asciiTheme="majorHAnsi" w:eastAsia="Gadugi" w:hAnsiTheme="majorHAnsi" w:cstheme="majorHAnsi"/>
          <w:sz w:val="28"/>
          <w:lang w:bidi="fr-CA"/>
        </w:rPr>
        <w:noBreakHyphen/>
      </w:r>
      <w:r w:rsidRPr="007B0EEE">
        <w:rPr>
          <w:rFonts w:asciiTheme="majorHAnsi" w:eastAsia="Gadugi" w:hAnsiTheme="majorHAnsi" w:cstheme="majorHAnsi"/>
          <w:sz w:val="28"/>
          <w:lang w:bidi="fr-CA"/>
        </w:rPr>
        <w:t xml:space="preserve">ci. </w:t>
      </w:r>
    </w:p>
    <w:p w14:paraId="5527FF23" w14:textId="77777777" w:rsidR="0033223F" w:rsidRPr="007B0EEE" w:rsidRDefault="0033223F" w:rsidP="00FC26AE">
      <w:pPr>
        <w:pStyle w:val="Default"/>
        <w:jc w:val="both"/>
        <w:rPr>
          <w:rFonts w:asciiTheme="majorHAnsi" w:hAnsiTheme="majorHAnsi" w:cstheme="majorHAnsi"/>
          <w:color w:val="auto"/>
          <w:spacing w:val="-1"/>
          <w:sz w:val="28"/>
          <w:szCs w:val="28"/>
        </w:rPr>
      </w:pPr>
    </w:p>
    <w:p w14:paraId="694D5854" w14:textId="77777777" w:rsidR="00FC26AE" w:rsidRPr="007B0EEE" w:rsidRDefault="00FC26AE" w:rsidP="00C76632">
      <w:pPr>
        <w:pStyle w:val="BodyText"/>
        <w:ind w:left="102"/>
        <w:rPr>
          <w:rFonts w:asciiTheme="majorHAnsi" w:hAnsiTheme="majorHAnsi" w:cstheme="majorHAnsi"/>
          <w:sz w:val="28"/>
          <w:szCs w:val="28"/>
          <w:lang w:val="fr-CA"/>
        </w:rPr>
      </w:pPr>
    </w:p>
    <w:p w14:paraId="57428414" w14:textId="4E10B4FF" w:rsidR="00C76632" w:rsidRPr="007B0EEE" w:rsidRDefault="00C76632" w:rsidP="00FC26AE">
      <w:pPr>
        <w:pStyle w:val="NoSpacing"/>
        <w:rPr>
          <w:rFonts w:asciiTheme="majorHAnsi" w:hAnsiTheme="majorHAnsi" w:cstheme="majorHAnsi"/>
          <w:b/>
          <w:bCs/>
          <w:sz w:val="28"/>
          <w:szCs w:val="28"/>
          <w:lang w:val="fr-CA"/>
        </w:rPr>
      </w:pPr>
      <w:r w:rsidRPr="007B0EEE">
        <w:rPr>
          <w:rFonts w:asciiTheme="majorHAnsi" w:eastAsia="Gadugi" w:hAnsiTheme="majorHAnsi" w:cstheme="majorHAnsi"/>
          <w:b/>
          <w:sz w:val="28"/>
          <w:lang w:val="fr-CA" w:bidi="fr-CA"/>
        </w:rPr>
        <w:t>Les observations écrites doivent être reçues avant 17 h, fuseau horaire de l’Est, le 24 janvier 2025.</w:t>
      </w:r>
    </w:p>
    <w:p w14:paraId="2DD1CCE2" w14:textId="2F4DDF41" w:rsidR="00C76632" w:rsidRPr="007B0EEE" w:rsidRDefault="00C76632" w:rsidP="00C76632">
      <w:pPr>
        <w:pStyle w:val="Heading2"/>
        <w:ind w:right="441"/>
        <w:jc w:val="center"/>
        <w:rPr>
          <w:rFonts w:asciiTheme="majorHAnsi" w:hAnsiTheme="majorHAnsi" w:cstheme="majorHAnsi"/>
          <w:sz w:val="28"/>
          <w:szCs w:val="28"/>
          <w:lang w:val="fr-CA" w:bidi="fr-CA"/>
        </w:rPr>
      </w:pPr>
    </w:p>
    <w:p w14:paraId="64ADB6DE" w14:textId="77777777" w:rsidR="00C76632" w:rsidRPr="007B0EEE" w:rsidRDefault="003C0C3A" w:rsidP="00C76632">
      <w:pPr>
        <w:pStyle w:val="Heading2"/>
        <w:ind w:right="441"/>
        <w:jc w:val="center"/>
        <w:rPr>
          <w:rFonts w:asciiTheme="majorHAnsi" w:hAnsiTheme="majorHAnsi" w:cstheme="majorHAnsi"/>
          <w:sz w:val="28"/>
          <w:szCs w:val="28"/>
          <w:lang w:val="fr-CA" w:bidi="fr-CA"/>
        </w:rPr>
      </w:pPr>
      <w:r w:rsidRPr="007B0EEE">
        <w:rPr>
          <w:rFonts w:asciiTheme="majorHAnsi" w:eastAsia="Gadugi" w:hAnsiTheme="majorHAnsi" w:cstheme="majorHAnsi"/>
          <w:noProof/>
          <w:spacing w:val="-1"/>
          <w:sz w:val="28"/>
          <w:lang w:val="fr-CA" w:bidi="fr-CA"/>
        </w:rPr>
        <mc:AlternateContent>
          <mc:Choice Requires="wps">
            <w:drawing>
              <wp:anchor distT="0" distB="0" distL="114300" distR="114300" simplePos="0" relativeHeight="251659264" behindDoc="1" locked="0" layoutInCell="1" allowOverlap="1" wp14:anchorId="3383CF04" wp14:editId="62A98E8A">
                <wp:simplePos x="0" y="0"/>
                <wp:positionH relativeFrom="page">
                  <wp:posOffset>4273484</wp:posOffset>
                </wp:positionH>
                <wp:positionV relativeFrom="paragraph">
                  <wp:posOffset>113838</wp:posOffset>
                </wp:positionV>
                <wp:extent cx="2821940" cy="2012950"/>
                <wp:effectExtent l="0" t="0" r="0" b="63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2012950"/>
                        </a:xfrm>
                        <a:prstGeom prst="rect">
                          <a:avLst/>
                        </a:prstGeom>
                        <a:solidFill>
                          <a:srgbClr val="D9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0061F" w14:textId="71FC6C9B" w:rsidR="00C76632" w:rsidRPr="00C0391B" w:rsidRDefault="00C76632" w:rsidP="00C0391B">
                            <w:pPr>
                              <w:ind w:left="244" w:right="187"/>
                              <w:rPr>
                                <w:rFonts w:eastAsia="Calibri" w:cstheme="minorHAnsi"/>
                                <w:lang w:val="fr-CA"/>
                              </w:rPr>
                            </w:pPr>
                            <w:r w:rsidRPr="001B4121">
                              <w:rPr>
                                <w:rFonts w:eastAsia="Gadugi" w:cstheme="minorHAnsi"/>
                                <w:b/>
                                <w:lang w:val="fr-CA" w:bidi="fr-CA"/>
                              </w:rPr>
                              <w:t xml:space="preserve">La requête de majoration tarifaire </w:t>
                            </w:r>
                            <w:r w:rsidRPr="00C0391B">
                              <w:rPr>
                                <w:rFonts w:eastAsia="Gadugi" w:cstheme="minorHAnsi"/>
                                <w:b/>
                                <w:lang w:val="fr-CA" w:bidi="fr-CA"/>
                              </w:rPr>
                              <w:t xml:space="preserve">générale de la Société peut être consultée au </w:t>
                            </w:r>
                            <w:hyperlink r:id="rId8" w:history="1">
                              <w:r w:rsidRPr="00C0391B">
                                <w:rPr>
                                  <w:rStyle w:val="Hyperlink"/>
                                  <w:rFonts w:eastAsia="Gadugi" w:cstheme="minorHAnsi"/>
                                  <w:lang w:val="fr-CA" w:bidi="fr-CA"/>
                                </w:rPr>
                                <w:t>www.qec.nu.ca</w:t>
                              </w:r>
                            </w:hyperlink>
                            <w:r w:rsidRPr="00C0391B">
                              <w:rPr>
                                <w:rFonts w:eastAsia="Gadugi" w:cstheme="minorHAnsi"/>
                                <w:b/>
                                <w:lang w:val="fr-CA" w:bidi="fr-CA"/>
                              </w:rPr>
                              <w:t xml:space="preserve"> ou obtenue sur demande en s’adressant à celle</w:t>
                            </w:r>
                            <w:r w:rsidRPr="00C0391B">
                              <w:rPr>
                                <w:rFonts w:ascii="Cambria Math" w:eastAsia="Gadugi" w:hAnsi="Cambria Math" w:cs="Cambria Math"/>
                                <w:b/>
                                <w:lang w:val="fr-CA" w:bidi="fr-CA"/>
                              </w:rPr>
                              <w:t>‑</w:t>
                            </w:r>
                            <w:r w:rsidRPr="00C0391B">
                              <w:rPr>
                                <w:rFonts w:eastAsia="Gadugi" w:cstheme="minorHAnsi"/>
                                <w:b/>
                                <w:lang w:val="fr-CA" w:bidi="fr-CA"/>
                              </w:rPr>
                              <w:t>ci ou au Conseil.</w:t>
                            </w:r>
                          </w:p>
                          <w:p w14:paraId="5F47CCF2" w14:textId="68308EC3" w:rsidR="00C76632" w:rsidRPr="00C0391B" w:rsidRDefault="00C76632" w:rsidP="00C0391B">
                            <w:pPr>
                              <w:spacing w:before="140"/>
                              <w:ind w:left="244" w:right="187"/>
                              <w:rPr>
                                <w:rFonts w:eastAsia="Calibri" w:cstheme="minorHAnsi"/>
                                <w:b/>
                                <w:bCs/>
                                <w:lang w:val="fr-CA"/>
                              </w:rPr>
                            </w:pPr>
                            <w:r w:rsidRPr="00C0391B">
                              <w:rPr>
                                <w:rFonts w:eastAsia="Gadugi" w:cstheme="minorHAnsi"/>
                                <w:b/>
                                <w:lang w:val="fr-CA" w:bidi="fr-CA"/>
                              </w:rPr>
                              <w:t>Les observations écrites peuvent être</w:t>
                            </w:r>
                            <w:hyperlink r:id="rId9" w:history="1">
                              <w:r w:rsidR="00205220" w:rsidRPr="00C0391B">
                                <w:rPr>
                                  <w:rStyle w:val="Hyperlink"/>
                                  <w:rFonts w:eastAsia="Gadugi" w:cstheme="minorHAnsi"/>
                                  <w:lang w:val="fr-CA" w:bidi="fr-CA"/>
                                </w:rPr>
                                <w:t xml:space="preserve"> </w:t>
                              </w:r>
                            </w:hyperlink>
                            <w:r w:rsidRPr="00C0391B">
                              <w:rPr>
                                <w:rFonts w:eastAsia="Gadugi" w:cstheme="minorHAnsi"/>
                                <w:b/>
                                <w:lang w:val="fr-CA" w:bidi="fr-CA"/>
                              </w:rPr>
                              <w:t xml:space="preserve">courriellées à l’adresse </w:t>
                            </w:r>
                            <w:hyperlink r:id="rId10" w:history="1">
                              <w:r w:rsidR="00205220" w:rsidRPr="00C0391B">
                                <w:rPr>
                                  <w:rStyle w:val="Hyperlink"/>
                                  <w:rFonts w:eastAsia="Gadugi" w:cstheme="minorHAnsi"/>
                                  <w:lang w:val="fr-CA" w:bidi="fr-CA"/>
                                </w:rPr>
                                <w:t>URRC@gov.nu.ca</w:t>
                              </w:r>
                            </w:hyperlink>
                            <w:r w:rsidRPr="00C0391B">
                              <w:rPr>
                                <w:rFonts w:eastAsia="Gadugi" w:cstheme="minorHAnsi"/>
                                <w:b/>
                                <w:lang w:val="fr-CA" w:bidi="fr-CA"/>
                              </w:rPr>
                              <w:t xml:space="preserve"> ou postées à la </w:t>
                            </w:r>
                            <w:r w:rsidR="00C0391B">
                              <w:rPr>
                                <w:rFonts w:eastAsia="Gadugi" w:cstheme="minorHAnsi"/>
                                <w:b/>
                                <w:lang w:val="fr-CA" w:bidi="fr-CA"/>
                              </w:rPr>
                              <w:br/>
                              <w:t>D</w:t>
                            </w:r>
                            <w:r w:rsidRPr="00C0391B">
                              <w:rPr>
                                <w:rFonts w:eastAsia="Gadugi" w:cstheme="minorHAnsi"/>
                                <w:b/>
                                <w:lang w:val="fr-CA" w:bidi="fr-CA"/>
                              </w:rPr>
                              <w:t xml:space="preserve">irection générale du CETES, C. P. 1000, </w:t>
                            </w:r>
                            <w:proofErr w:type="spellStart"/>
                            <w:r w:rsidRPr="00C0391B">
                              <w:rPr>
                                <w:rFonts w:eastAsia="Gadugi" w:cstheme="minorHAnsi"/>
                                <w:b/>
                                <w:lang w:val="fr-CA" w:bidi="fr-CA"/>
                              </w:rPr>
                              <w:t>succ</w:t>
                            </w:r>
                            <w:proofErr w:type="spellEnd"/>
                            <w:r w:rsidRPr="00C0391B">
                              <w:rPr>
                                <w:rFonts w:eastAsia="Gadugi" w:cstheme="minorHAnsi"/>
                                <w:b/>
                                <w:lang w:val="fr-CA" w:bidi="fr-CA"/>
                              </w:rPr>
                              <w:t>. </w:t>
                            </w:r>
                            <w:r w:rsidRPr="00C0391B">
                              <w:rPr>
                                <w:rFonts w:eastAsia="Calibri" w:cstheme="minorHAnsi"/>
                                <w:b/>
                                <w:lang w:val="fr-CA"/>
                              </w:rPr>
                              <w:t>200</w:t>
                            </w:r>
                          </w:p>
                          <w:p w14:paraId="608E3927" w14:textId="77777777" w:rsidR="00C76632" w:rsidRPr="00C0391B" w:rsidRDefault="00C76632" w:rsidP="00C0391B">
                            <w:pPr>
                              <w:ind w:left="244" w:right="187"/>
                              <w:rPr>
                                <w:rFonts w:eastAsia="Calibri" w:cstheme="minorHAnsi"/>
                                <w:b/>
                                <w:bCs/>
                                <w:lang w:val="fr-CA"/>
                              </w:rPr>
                            </w:pPr>
                            <w:r w:rsidRPr="00C0391B">
                              <w:rPr>
                                <w:rFonts w:eastAsia="Calibri" w:cstheme="minorHAnsi"/>
                                <w:b/>
                                <w:bCs/>
                                <w:lang w:val="fr-CA"/>
                              </w:rPr>
                              <w:t>Iqaluit (</w:t>
                            </w:r>
                            <w:proofErr w:type="gramStart"/>
                            <w:r w:rsidRPr="00C0391B">
                              <w:rPr>
                                <w:rFonts w:eastAsia="Calibri" w:cstheme="minorHAnsi"/>
                                <w:b/>
                                <w:bCs/>
                                <w:lang w:val="fr-CA"/>
                              </w:rPr>
                              <w:t>Nunavut)  X</w:t>
                            </w:r>
                            <w:proofErr w:type="gramEnd"/>
                            <w:r w:rsidRPr="00C0391B">
                              <w:rPr>
                                <w:rFonts w:eastAsia="Calibri" w:cstheme="minorHAnsi"/>
                                <w:b/>
                                <w:bCs/>
                                <w:lang w:val="fr-CA"/>
                              </w:rPr>
                              <w:t>0A 0H0.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3CF04" id="_x0000_t202" coordsize="21600,21600" o:spt="202" path="m,l,21600r21600,l21600,xe">
                <v:stroke joinstyle="miter"/>
                <v:path gradientshapeok="t" o:connecttype="rect"/>
              </v:shapetype>
              <v:shape id="Text Box 18" o:spid="_x0000_s1026" type="#_x0000_t202" style="position:absolute;left:0;text-align:left;margin-left:336.5pt;margin-top:8.95pt;width:222.2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" fillcolor="#d9e4f0" stroked="f">
                <v:textbox inset="0,0,0,0">
                  <w:txbxContent>
                    <w:p w14:paraId="7B90061F" w14:textId="71FC6C9B" w:rsidR="00C76632" w:rsidRPr="00C0391B" w:rsidRDefault="00C76632" w:rsidP="00C0391B">
                      <w:pPr>
                        <w:ind w:left="244" w:right="187"/>
                        <w:rPr>
                          <w:rFonts w:eastAsia="Calibri" w:cstheme="minorHAnsi"/>
                          <w:lang w:val="fr-CA"/>
                        </w:rPr>
                      </w:pPr>
                      <w:r w:rsidRPr="001B4121">
                        <w:rPr>
                          <w:rFonts w:eastAsia="Gadugi" w:cstheme="minorHAnsi"/>
                          <w:b/>
                          <w:lang w:val="fr-CA" w:bidi="fr-CA"/>
                        </w:rPr>
                        <w:t xml:space="preserve">La requête de majoration tarifaire </w:t>
                      </w:r>
                      <w:r w:rsidRPr="00C0391B">
                        <w:rPr>
                          <w:rFonts w:eastAsia="Gadugi" w:cstheme="minorHAnsi"/>
                          <w:b/>
                          <w:lang w:val="fr-CA" w:bidi="fr-CA"/>
                        </w:rPr>
                        <w:t xml:space="preserve">générale de la Société peut être consultée au </w:t>
                      </w:r>
                      <w:hyperlink r:id="rId11" w:history="1">
                        <w:r w:rsidRPr="00C0391B">
                          <w:rPr>
                            <w:rStyle w:val="Hyperlink"/>
                            <w:rFonts w:eastAsia="Gadugi" w:cstheme="minorHAnsi"/>
                            <w:lang w:val="fr-CA" w:bidi="fr-CA"/>
                          </w:rPr>
                          <w:t>www.qec.nu.ca</w:t>
                        </w:r>
                      </w:hyperlink>
                      <w:r w:rsidRPr="00C0391B">
                        <w:rPr>
                          <w:rFonts w:eastAsia="Gadugi" w:cstheme="minorHAnsi"/>
                          <w:b/>
                          <w:lang w:val="fr-CA" w:bidi="fr-CA"/>
                        </w:rPr>
                        <w:t xml:space="preserve"> ou obtenue sur demande en s’adressant à celle</w:t>
                      </w:r>
                      <w:r w:rsidRPr="00C0391B">
                        <w:rPr>
                          <w:rFonts w:ascii="Cambria Math" w:eastAsia="Gadugi" w:hAnsi="Cambria Math" w:cs="Cambria Math"/>
                          <w:b/>
                          <w:lang w:val="fr-CA" w:bidi="fr-CA"/>
                        </w:rPr>
                        <w:t>‑</w:t>
                      </w:r>
                      <w:r w:rsidRPr="00C0391B">
                        <w:rPr>
                          <w:rFonts w:eastAsia="Gadugi" w:cstheme="minorHAnsi"/>
                          <w:b/>
                          <w:lang w:val="fr-CA" w:bidi="fr-CA"/>
                        </w:rPr>
                        <w:t>ci ou au Conseil.</w:t>
                      </w:r>
                    </w:p>
                    <w:p w14:paraId="5F47CCF2" w14:textId="68308EC3" w:rsidR="00C76632" w:rsidRPr="00C0391B" w:rsidRDefault="00C76632" w:rsidP="00C0391B">
                      <w:pPr>
                        <w:spacing w:before="140"/>
                        <w:ind w:left="244" w:right="187"/>
                        <w:rPr>
                          <w:rFonts w:eastAsia="Calibri" w:cstheme="minorHAnsi"/>
                          <w:b/>
                          <w:bCs/>
                          <w:lang w:val="fr-CA"/>
                        </w:rPr>
                      </w:pPr>
                      <w:r w:rsidRPr="00C0391B">
                        <w:rPr>
                          <w:rFonts w:eastAsia="Gadugi" w:cstheme="minorHAnsi"/>
                          <w:b/>
                          <w:lang w:val="fr-CA" w:bidi="fr-CA"/>
                        </w:rPr>
                        <w:t>Les observations écrites peuvent être</w:t>
                      </w:r>
                      <w:hyperlink r:id="rId12" w:history="1">
                        <w:r w:rsidR="00205220" w:rsidRPr="00C0391B">
                          <w:rPr>
                            <w:rStyle w:val="Hyperlink"/>
                            <w:rFonts w:eastAsia="Gadugi" w:cstheme="minorHAnsi"/>
                            <w:lang w:val="fr-CA" w:bidi="fr-CA"/>
                          </w:rPr>
                          <w:t xml:space="preserve"> </w:t>
                        </w:r>
                      </w:hyperlink>
                      <w:r w:rsidRPr="00C0391B">
                        <w:rPr>
                          <w:rFonts w:eastAsia="Gadugi" w:cstheme="minorHAnsi"/>
                          <w:b/>
                          <w:lang w:val="fr-CA" w:bidi="fr-CA"/>
                        </w:rPr>
                        <w:t xml:space="preserve">courriellées à l’adresse </w:t>
                      </w:r>
                      <w:hyperlink r:id="rId13" w:history="1">
                        <w:r w:rsidR="00205220" w:rsidRPr="00C0391B">
                          <w:rPr>
                            <w:rStyle w:val="Hyperlink"/>
                            <w:rFonts w:eastAsia="Gadugi" w:cstheme="minorHAnsi"/>
                            <w:lang w:val="fr-CA" w:bidi="fr-CA"/>
                          </w:rPr>
                          <w:t>URRC@gov.nu.ca</w:t>
                        </w:r>
                      </w:hyperlink>
                      <w:r w:rsidRPr="00C0391B">
                        <w:rPr>
                          <w:rFonts w:eastAsia="Gadugi" w:cstheme="minorHAnsi"/>
                          <w:b/>
                          <w:lang w:val="fr-CA" w:bidi="fr-CA"/>
                        </w:rPr>
                        <w:t xml:space="preserve"> ou postées à la </w:t>
                      </w:r>
                      <w:r w:rsidR="00C0391B">
                        <w:rPr>
                          <w:rFonts w:eastAsia="Gadugi" w:cstheme="minorHAnsi"/>
                          <w:b/>
                          <w:lang w:val="fr-CA" w:bidi="fr-CA"/>
                        </w:rPr>
                        <w:br/>
                        <w:t>D</w:t>
                      </w:r>
                      <w:r w:rsidRPr="00C0391B">
                        <w:rPr>
                          <w:rFonts w:eastAsia="Gadugi" w:cstheme="minorHAnsi"/>
                          <w:b/>
                          <w:lang w:val="fr-CA" w:bidi="fr-CA"/>
                        </w:rPr>
                        <w:t xml:space="preserve">irection générale du CETES, C. P. 1000, </w:t>
                      </w:r>
                      <w:proofErr w:type="spellStart"/>
                      <w:r w:rsidRPr="00C0391B">
                        <w:rPr>
                          <w:rFonts w:eastAsia="Gadugi" w:cstheme="minorHAnsi"/>
                          <w:b/>
                          <w:lang w:val="fr-CA" w:bidi="fr-CA"/>
                        </w:rPr>
                        <w:t>succ</w:t>
                      </w:r>
                      <w:proofErr w:type="spellEnd"/>
                      <w:r w:rsidRPr="00C0391B">
                        <w:rPr>
                          <w:rFonts w:eastAsia="Gadugi" w:cstheme="minorHAnsi"/>
                          <w:b/>
                          <w:lang w:val="fr-CA" w:bidi="fr-CA"/>
                        </w:rPr>
                        <w:t>. </w:t>
                      </w:r>
                      <w:r w:rsidRPr="00C0391B">
                        <w:rPr>
                          <w:rFonts w:eastAsia="Calibri" w:cstheme="minorHAnsi"/>
                          <w:b/>
                          <w:lang w:val="fr-CA"/>
                        </w:rPr>
                        <w:t>200</w:t>
                      </w:r>
                    </w:p>
                    <w:p w14:paraId="608E3927" w14:textId="77777777" w:rsidR="00C76632" w:rsidRPr="00C0391B" w:rsidRDefault="00C76632" w:rsidP="00C0391B">
                      <w:pPr>
                        <w:ind w:left="244" w:right="187"/>
                        <w:rPr>
                          <w:rFonts w:eastAsia="Calibri" w:cstheme="minorHAnsi"/>
                          <w:b/>
                          <w:bCs/>
                          <w:lang w:val="fr-CA"/>
                        </w:rPr>
                      </w:pPr>
                      <w:r w:rsidRPr="00C0391B">
                        <w:rPr>
                          <w:rFonts w:eastAsia="Calibri" w:cstheme="minorHAnsi"/>
                          <w:b/>
                          <w:bCs/>
                          <w:lang w:val="fr-CA"/>
                        </w:rPr>
                        <w:t>Iqaluit (</w:t>
                      </w:r>
                      <w:proofErr w:type="gramStart"/>
                      <w:r w:rsidRPr="00C0391B">
                        <w:rPr>
                          <w:rFonts w:eastAsia="Calibri" w:cstheme="minorHAnsi"/>
                          <w:b/>
                          <w:bCs/>
                          <w:lang w:val="fr-CA"/>
                        </w:rPr>
                        <w:t>Nunavut)  X</w:t>
                      </w:r>
                      <w:proofErr w:type="gramEnd"/>
                      <w:r w:rsidRPr="00C0391B">
                        <w:rPr>
                          <w:rFonts w:eastAsia="Calibri" w:cstheme="minorHAnsi"/>
                          <w:b/>
                          <w:bCs/>
                          <w:lang w:val="fr-CA"/>
                        </w:rPr>
                        <w:t>0A 0H0.</w:t>
                      </w:r>
                    </w:p>
                  </w:txbxContent>
                </v:textbox>
                <w10:wrap anchorx="page"/>
              </v:shape>
            </w:pict>
          </mc:Fallback>
        </mc:AlternateContent>
      </w:r>
    </w:p>
    <w:p w14:paraId="774D4866" w14:textId="77777777" w:rsidR="00C76632" w:rsidRPr="007B0EEE" w:rsidRDefault="00C76632" w:rsidP="00C76632">
      <w:pPr>
        <w:pStyle w:val="Heading2"/>
        <w:ind w:right="441"/>
        <w:jc w:val="center"/>
        <w:rPr>
          <w:rFonts w:asciiTheme="majorHAnsi" w:hAnsiTheme="majorHAnsi" w:cstheme="majorHAnsi"/>
          <w:sz w:val="28"/>
          <w:szCs w:val="28"/>
          <w:lang w:val="fr-CA" w:bidi="fr-CA"/>
        </w:rPr>
      </w:pPr>
    </w:p>
    <w:p w14:paraId="6ADF6484" w14:textId="77777777" w:rsidR="00C76632" w:rsidRPr="007B0EEE" w:rsidRDefault="00C76632" w:rsidP="00C76632">
      <w:pPr>
        <w:pStyle w:val="Heading2"/>
        <w:ind w:right="441"/>
        <w:jc w:val="center"/>
        <w:rPr>
          <w:rFonts w:asciiTheme="majorHAnsi" w:hAnsiTheme="majorHAnsi" w:cstheme="majorHAnsi"/>
          <w:sz w:val="28"/>
          <w:szCs w:val="28"/>
          <w:lang w:val="fr-CA" w:bidi="fr-CA"/>
        </w:rPr>
      </w:pPr>
    </w:p>
    <w:p w14:paraId="172018B6" w14:textId="77777777" w:rsidR="00FC26AE" w:rsidRPr="007B0EEE" w:rsidRDefault="00FC26AE" w:rsidP="00C76632">
      <w:pPr>
        <w:pStyle w:val="Heading2"/>
        <w:ind w:right="441"/>
        <w:jc w:val="center"/>
        <w:rPr>
          <w:rFonts w:asciiTheme="majorHAnsi" w:hAnsiTheme="majorHAnsi" w:cstheme="majorHAnsi"/>
          <w:sz w:val="28"/>
          <w:szCs w:val="28"/>
          <w:lang w:val="fr-CA" w:bidi="fr-CA"/>
        </w:rPr>
      </w:pPr>
    </w:p>
    <w:p w14:paraId="4560C23A" w14:textId="77777777" w:rsidR="00DE0D8E" w:rsidRPr="007B0EEE" w:rsidRDefault="00DE0D8E" w:rsidP="00C76632">
      <w:pPr>
        <w:pStyle w:val="Heading2"/>
        <w:ind w:right="441"/>
        <w:jc w:val="center"/>
        <w:rPr>
          <w:rFonts w:asciiTheme="majorHAnsi" w:hAnsiTheme="majorHAnsi" w:cstheme="majorHAnsi"/>
          <w:sz w:val="28"/>
          <w:szCs w:val="28"/>
          <w:lang w:val="fr-CA" w:bidi="fr-CA"/>
        </w:rPr>
      </w:pPr>
    </w:p>
    <w:p w14:paraId="2C08092F" w14:textId="77777777" w:rsidR="00DE0D8E" w:rsidRPr="007B0EEE" w:rsidRDefault="00DE0D8E" w:rsidP="00C76632">
      <w:pPr>
        <w:pStyle w:val="Heading2"/>
        <w:ind w:right="441"/>
        <w:jc w:val="center"/>
        <w:rPr>
          <w:rFonts w:asciiTheme="majorHAnsi" w:hAnsiTheme="majorHAnsi" w:cstheme="majorHAnsi"/>
          <w:sz w:val="28"/>
          <w:szCs w:val="28"/>
          <w:lang w:val="fr-CA" w:bidi="fr-CA"/>
        </w:rPr>
      </w:pPr>
    </w:p>
    <w:p w14:paraId="4B5508F2" w14:textId="77777777" w:rsidR="00DE0D8E" w:rsidRPr="007B0EEE" w:rsidRDefault="00DE0D8E" w:rsidP="00C76632">
      <w:pPr>
        <w:pStyle w:val="Heading2"/>
        <w:ind w:right="441"/>
        <w:jc w:val="center"/>
        <w:rPr>
          <w:rFonts w:asciiTheme="majorHAnsi" w:hAnsiTheme="majorHAnsi" w:cstheme="majorHAnsi"/>
          <w:sz w:val="28"/>
          <w:szCs w:val="28"/>
          <w:lang w:val="fr-CA" w:bidi="fr-CA"/>
        </w:rPr>
      </w:pPr>
    </w:p>
    <w:p w14:paraId="18450096" w14:textId="77777777" w:rsidR="00DE0D8E" w:rsidRPr="007B0EEE" w:rsidRDefault="00DE0D8E" w:rsidP="00C76632">
      <w:pPr>
        <w:pStyle w:val="Heading2"/>
        <w:ind w:right="441"/>
        <w:jc w:val="center"/>
        <w:rPr>
          <w:rFonts w:asciiTheme="majorHAnsi" w:hAnsiTheme="majorHAnsi" w:cstheme="majorHAnsi"/>
          <w:sz w:val="28"/>
          <w:szCs w:val="28"/>
          <w:lang w:val="fr-CA" w:bidi="fr-CA"/>
        </w:rPr>
      </w:pPr>
    </w:p>
    <w:p w14:paraId="22868262" w14:textId="77777777" w:rsidR="00DE0D8E" w:rsidRPr="007B0EEE" w:rsidRDefault="00DE0D8E" w:rsidP="00C76632">
      <w:pPr>
        <w:pStyle w:val="Heading2"/>
        <w:ind w:right="441"/>
        <w:jc w:val="center"/>
        <w:rPr>
          <w:rFonts w:asciiTheme="majorHAnsi" w:hAnsiTheme="majorHAnsi" w:cstheme="majorHAnsi"/>
          <w:sz w:val="28"/>
          <w:szCs w:val="28"/>
          <w:lang w:val="fr-CA" w:bidi="fr-CA"/>
        </w:rPr>
      </w:pPr>
    </w:p>
    <w:sectPr w:rsidR="00DE0D8E" w:rsidRPr="007B0EEE" w:rsidSect="00DE0D8E">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EAD28" w14:textId="77777777" w:rsidR="00EB4670" w:rsidRDefault="00EB4670" w:rsidP="00577AE4">
      <w:r>
        <w:separator/>
      </w:r>
    </w:p>
  </w:endnote>
  <w:endnote w:type="continuationSeparator" w:id="0">
    <w:p w14:paraId="16F1CE41" w14:textId="77777777" w:rsidR="00EB4670" w:rsidRDefault="00EB4670" w:rsidP="0057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C264" w14:textId="77777777" w:rsidR="00BB60C5" w:rsidRPr="007B0EEE" w:rsidRDefault="00BB60C5" w:rsidP="00BB60C5">
    <w:pPr>
      <w:rPr>
        <w:rFonts w:asciiTheme="majorHAnsi" w:hAnsiTheme="majorHAnsi" w:cstheme="majorHAnsi"/>
        <w:i/>
        <w:sz w:val="28"/>
        <w:szCs w:val="28"/>
        <w:lang w:val="fr-CA"/>
      </w:rPr>
    </w:pPr>
    <w:r w:rsidRPr="007B0EEE">
      <w:rPr>
        <w:rFonts w:asciiTheme="majorHAnsi" w:eastAsia="Gadugi" w:hAnsiTheme="majorHAnsi" w:cstheme="majorHAnsi"/>
        <w:i/>
        <w:sz w:val="28"/>
        <w:lang w:val="fr-CA" w:bidi="fr-CA"/>
      </w:rPr>
      <w:t>Le Conseil d’examen des taux des entreprises de service est une entité autonome qui conseille le gouvernement du Nunavut sur les tarifs imposés par les entreprises de service.</w:t>
    </w:r>
  </w:p>
  <w:p w14:paraId="5154236F" w14:textId="77777777" w:rsidR="00BB60C5" w:rsidRDefault="00BB6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E4A0" w14:textId="77777777" w:rsidR="00EB4670" w:rsidRDefault="00EB4670" w:rsidP="00577AE4">
      <w:r>
        <w:separator/>
      </w:r>
    </w:p>
  </w:footnote>
  <w:footnote w:type="continuationSeparator" w:id="0">
    <w:p w14:paraId="65458ACE" w14:textId="77777777" w:rsidR="00EB4670" w:rsidRDefault="00EB4670" w:rsidP="0057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43EA" w14:textId="507E36D2" w:rsidR="00577AE4" w:rsidRDefault="00577AE4" w:rsidP="00C766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45F1"/>
    <w:multiLevelType w:val="hybridMultilevel"/>
    <w:tmpl w:val="E3BC3606"/>
    <w:lvl w:ilvl="0" w:tplc="645EEF3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A6A98"/>
    <w:multiLevelType w:val="hybridMultilevel"/>
    <w:tmpl w:val="10D65F6E"/>
    <w:lvl w:ilvl="0" w:tplc="83108478">
      <w:start w:val="1"/>
      <w:numFmt w:val="decimal"/>
      <w:lvlText w:val="%1"/>
      <w:lvlJc w:val="left"/>
      <w:pPr>
        <w:ind w:left="740" w:hanging="495"/>
        <w:jc w:val="right"/>
      </w:pPr>
      <w:rPr>
        <w:rFonts w:ascii="Verdana" w:eastAsia="Verdana" w:hAnsi="Verdana" w:cs="Verdana" w:hint="default"/>
        <w:b w:val="0"/>
        <w:bCs w:val="0"/>
        <w:i w:val="0"/>
        <w:iCs w:val="0"/>
        <w:spacing w:val="0"/>
        <w:w w:val="87"/>
        <w:sz w:val="24"/>
        <w:szCs w:val="24"/>
        <w:lang w:val="ca-ES" w:eastAsia="en-US" w:bidi="ar-SA"/>
      </w:rPr>
    </w:lvl>
    <w:lvl w:ilvl="1" w:tplc="511C32F2">
      <w:numFmt w:val="bullet"/>
      <w:lvlText w:val="•"/>
      <w:lvlJc w:val="left"/>
      <w:pPr>
        <w:ind w:left="1688" w:hanging="495"/>
      </w:pPr>
      <w:rPr>
        <w:rFonts w:hint="default"/>
        <w:lang w:val="ca-ES" w:eastAsia="en-US" w:bidi="ar-SA"/>
      </w:rPr>
    </w:lvl>
    <w:lvl w:ilvl="2" w:tplc="F29E268C">
      <w:numFmt w:val="bullet"/>
      <w:lvlText w:val="•"/>
      <w:lvlJc w:val="left"/>
      <w:pPr>
        <w:ind w:left="2636" w:hanging="495"/>
      </w:pPr>
      <w:rPr>
        <w:rFonts w:hint="default"/>
        <w:lang w:val="ca-ES" w:eastAsia="en-US" w:bidi="ar-SA"/>
      </w:rPr>
    </w:lvl>
    <w:lvl w:ilvl="3" w:tplc="4B5A2B56">
      <w:numFmt w:val="bullet"/>
      <w:lvlText w:val="•"/>
      <w:lvlJc w:val="left"/>
      <w:pPr>
        <w:ind w:left="3584" w:hanging="495"/>
      </w:pPr>
      <w:rPr>
        <w:rFonts w:hint="default"/>
        <w:lang w:val="ca-ES" w:eastAsia="en-US" w:bidi="ar-SA"/>
      </w:rPr>
    </w:lvl>
    <w:lvl w:ilvl="4" w:tplc="F4A86150">
      <w:numFmt w:val="bullet"/>
      <w:lvlText w:val="•"/>
      <w:lvlJc w:val="left"/>
      <w:pPr>
        <w:ind w:left="4532" w:hanging="495"/>
      </w:pPr>
      <w:rPr>
        <w:rFonts w:hint="default"/>
        <w:lang w:val="ca-ES" w:eastAsia="en-US" w:bidi="ar-SA"/>
      </w:rPr>
    </w:lvl>
    <w:lvl w:ilvl="5" w:tplc="B53A1CCC">
      <w:numFmt w:val="bullet"/>
      <w:lvlText w:val="•"/>
      <w:lvlJc w:val="left"/>
      <w:pPr>
        <w:ind w:left="5480" w:hanging="495"/>
      </w:pPr>
      <w:rPr>
        <w:rFonts w:hint="default"/>
        <w:lang w:val="ca-ES" w:eastAsia="en-US" w:bidi="ar-SA"/>
      </w:rPr>
    </w:lvl>
    <w:lvl w:ilvl="6" w:tplc="3C609B2A">
      <w:numFmt w:val="bullet"/>
      <w:lvlText w:val="•"/>
      <w:lvlJc w:val="left"/>
      <w:pPr>
        <w:ind w:left="6428" w:hanging="495"/>
      </w:pPr>
      <w:rPr>
        <w:rFonts w:hint="default"/>
        <w:lang w:val="ca-ES" w:eastAsia="en-US" w:bidi="ar-SA"/>
      </w:rPr>
    </w:lvl>
    <w:lvl w:ilvl="7" w:tplc="137E366C">
      <w:numFmt w:val="bullet"/>
      <w:lvlText w:val="•"/>
      <w:lvlJc w:val="left"/>
      <w:pPr>
        <w:ind w:left="7376" w:hanging="495"/>
      </w:pPr>
      <w:rPr>
        <w:rFonts w:hint="default"/>
        <w:lang w:val="ca-ES" w:eastAsia="en-US" w:bidi="ar-SA"/>
      </w:rPr>
    </w:lvl>
    <w:lvl w:ilvl="8" w:tplc="5A723356">
      <w:numFmt w:val="bullet"/>
      <w:lvlText w:val="•"/>
      <w:lvlJc w:val="left"/>
      <w:pPr>
        <w:ind w:left="8324" w:hanging="495"/>
      </w:pPr>
      <w:rPr>
        <w:rFonts w:hint="default"/>
        <w:lang w:val="ca-ES" w:eastAsia="en-US" w:bidi="ar-SA"/>
      </w:rPr>
    </w:lvl>
  </w:abstractNum>
  <w:abstractNum w:abstractNumId="2" w15:restartNumberingAfterBreak="0">
    <w:nsid w:val="699B26DC"/>
    <w:multiLevelType w:val="hybridMultilevel"/>
    <w:tmpl w:val="FF8C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E3244"/>
    <w:multiLevelType w:val="hybridMultilevel"/>
    <w:tmpl w:val="2E5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190913">
    <w:abstractNumId w:val="2"/>
  </w:num>
  <w:num w:numId="2" w16cid:durableId="2054229421">
    <w:abstractNumId w:val="0"/>
  </w:num>
  <w:num w:numId="3" w16cid:durableId="1554538172">
    <w:abstractNumId w:val="3"/>
  </w:num>
  <w:num w:numId="4" w16cid:durableId="78218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E4"/>
    <w:rsid w:val="00010B54"/>
    <w:rsid w:val="00026631"/>
    <w:rsid w:val="00083E99"/>
    <w:rsid w:val="00097FD9"/>
    <w:rsid w:val="000C13C4"/>
    <w:rsid w:val="000D14BF"/>
    <w:rsid w:val="000D7F53"/>
    <w:rsid w:val="000E6F60"/>
    <w:rsid w:val="00110286"/>
    <w:rsid w:val="00162FE9"/>
    <w:rsid w:val="001B4121"/>
    <w:rsid w:val="001D386B"/>
    <w:rsid w:val="001F264D"/>
    <w:rsid w:val="00205220"/>
    <w:rsid w:val="00205DF6"/>
    <w:rsid w:val="00231939"/>
    <w:rsid w:val="0024784D"/>
    <w:rsid w:val="00285937"/>
    <w:rsid w:val="00287EC6"/>
    <w:rsid w:val="00290227"/>
    <w:rsid w:val="00290E05"/>
    <w:rsid w:val="002D2412"/>
    <w:rsid w:val="002D44DF"/>
    <w:rsid w:val="002D5D39"/>
    <w:rsid w:val="0030207F"/>
    <w:rsid w:val="00327DD3"/>
    <w:rsid w:val="0033125F"/>
    <w:rsid w:val="0033223F"/>
    <w:rsid w:val="00347BB7"/>
    <w:rsid w:val="00360CEE"/>
    <w:rsid w:val="003A2565"/>
    <w:rsid w:val="003C0C3A"/>
    <w:rsid w:val="00411935"/>
    <w:rsid w:val="00420A85"/>
    <w:rsid w:val="00437892"/>
    <w:rsid w:val="0046349C"/>
    <w:rsid w:val="004F1F17"/>
    <w:rsid w:val="00505CBB"/>
    <w:rsid w:val="005143E3"/>
    <w:rsid w:val="00535FAD"/>
    <w:rsid w:val="005436ED"/>
    <w:rsid w:val="005443C3"/>
    <w:rsid w:val="00577AE4"/>
    <w:rsid w:val="005A34D6"/>
    <w:rsid w:val="005C184B"/>
    <w:rsid w:val="005C6EA9"/>
    <w:rsid w:val="006200C5"/>
    <w:rsid w:val="006C5748"/>
    <w:rsid w:val="0070714C"/>
    <w:rsid w:val="00734C20"/>
    <w:rsid w:val="00736B28"/>
    <w:rsid w:val="007674C4"/>
    <w:rsid w:val="00780AA0"/>
    <w:rsid w:val="00791C1F"/>
    <w:rsid w:val="007A176F"/>
    <w:rsid w:val="007A36A2"/>
    <w:rsid w:val="007B0EEE"/>
    <w:rsid w:val="00800766"/>
    <w:rsid w:val="00820D8D"/>
    <w:rsid w:val="00871536"/>
    <w:rsid w:val="00880D4D"/>
    <w:rsid w:val="008B0418"/>
    <w:rsid w:val="008B1AC4"/>
    <w:rsid w:val="008C285A"/>
    <w:rsid w:val="0090692D"/>
    <w:rsid w:val="00922AFD"/>
    <w:rsid w:val="00945D17"/>
    <w:rsid w:val="00947A05"/>
    <w:rsid w:val="0095082C"/>
    <w:rsid w:val="00983C2C"/>
    <w:rsid w:val="009A3E72"/>
    <w:rsid w:val="009F2723"/>
    <w:rsid w:val="009F5391"/>
    <w:rsid w:val="00A074F8"/>
    <w:rsid w:val="00A30BDF"/>
    <w:rsid w:val="00A33032"/>
    <w:rsid w:val="00A45A6F"/>
    <w:rsid w:val="00A65900"/>
    <w:rsid w:val="00AD3801"/>
    <w:rsid w:val="00AE44DB"/>
    <w:rsid w:val="00B005B2"/>
    <w:rsid w:val="00B01A8F"/>
    <w:rsid w:val="00B20838"/>
    <w:rsid w:val="00B31395"/>
    <w:rsid w:val="00B95873"/>
    <w:rsid w:val="00BA57E8"/>
    <w:rsid w:val="00BB2435"/>
    <w:rsid w:val="00BB60C5"/>
    <w:rsid w:val="00BB73C8"/>
    <w:rsid w:val="00BC3745"/>
    <w:rsid w:val="00BF0063"/>
    <w:rsid w:val="00BF088E"/>
    <w:rsid w:val="00BF18D3"/>
    <w:rsid w:val="00BF5D72"/>
    <w:rsid w:val="00BF710D"/>
    <w:rsid w:val="00C0391B"/>
    <w:rsid w:val="00C50588"/>
    <w:rsid w:val="00C51CD6"/>
    <w:rsid w:val="00C569E3"/>
    <w:rsid w:val="00C76632"/>
    <w:rsid w:val="00C83EDF"/>
    <w:rsid w:val="00C94C22"/>
    <w:rsid w:val="00CF612A"/>
    <w:rsid w:val="00D62C1E"/>
    <w:rsid w:val="00D91711"/>
    <w:rsid w:val="00D92C95"/>
    <w:rsid w:val="00D94E82"/>
    <w:rsid w:val="00DE0D8E"/>
    <w:rsid w:val="00DE581A"/>
    <w:rsid w:val="00E06875"/>
    <w:rsid w:val="00E236F5"/>
    <w:rsid w:val="00E259EB"/>
    <w:rsid w:val="00E35D3A"/>
    <w:rsid w:val="00E71EAF"/>
    <w:rsid w:val="00EA24A5"/>
    <w:rsid w:val="00EB4670"/>
    <w:rsid w:val="00EC10AA"/>
    <w:rsid w:val="00EC3994"/>
    <w:rsid w:val="00EE0428"/>
    <w:rsid w:val="00F0085D"/>
    <w:rsid w:val="00F05630"/>
    <w:rsid w:val="00F07AEB"/>
    <w:rsid w:val="00F106D6"/>
    <w:rsid w:val="00F147A7"/>
    <w:rsid w:val="00F350BB"/>
    <w:rsid w:val="00F46699"/>
    <w:rsid w:val="00F60A45"/>
    <w:rsid w:val="00F772A1"/>
    <w:rsid w:val="00FC26AE"/>
    <w:rsid w:val="00FD74E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7BC1C"/>
  <w15:docId w15:val="{D6E208D0-DA58-BE47-AEA7-21893A64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6632"/>
    <w:pPr>
      <w:widowControl w:val="0"/>
      <w:spacing w:after="0" w:line="240" w:lineRule="auto"/>
    </w:pPr>
    <w:rPr>
      <w:lang w:val="en-US"/>
    </w:rPr>
  </w:style>
  <w:style w:type="paragraph" w:styleId="Heading1">
    <w:name w:val="heading 1"/>
    <w:basedOn w:val="Normal"/>
    <w:link w:val="Heading1Char"/>
    <w:uiPriority w:val="1"/>
    <w:qFormat/>
    <w:rsid w:val="00C76632"/>
    <w:pPr>
      <w:ind w:left="100"/>
      <w:outlineLvl w:val="0"/>
    </w:pPr>
    <w:rPr>
      <w:rFonts w:ascii="Calibri" w:eastAsia="Calibri" w:hAnsi="Calibri"/>
      <w:b/>
      <w:bCs/>
      <w:sz w:val="44"/>
      <w:szCs w:val="44"/>
    </w:rPr>
  </w:style>
  <w:style w:type="paragraph" w:styleId="Heading2">
    <w:name w:val="heading 2"/>
    <w:basedOn w:val="Normal"/>
    <w:link w:val="Heading2Char"/>
    <w:uiPriority w:val="1"/>
    <w:qFormat/>
    <w:rsid w:val="00C76632"/>
    <w:pPr>
      <w:spacing w:before="152"/>
      <w:outlineLvl w:val="1"/>
    </w:pPr>
    <w:rPr>
      <w:rFonts w:ascii="Calibri" w:eastAsia="Calibri" w:hAnsi="Calibri"/>
      <w:b/>
      <w:bCs/>
      <w: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E4"/>
    <w:pPr>
      <w:tabs>
        <w:tab w:val="center" w:pos="4680"/>
        <w:tab w:val="right" w:pos="9360"/>
      </w:tabs>
    </w:pPr>
  </w:style>
  <w:style w:type="character" w:customStyle="1" w:styleId="HeaderChar">
    <w:name w:val="Header Char"/>
    <w:basedOn w:val="DefaultParagraphFont"/>
    <w:link w:val="Header"/>
    <w:uiPriority w:val="99"/>
    <w:rsid w:val="00577AE4"/>
  </w:style>
  <w:style w:type="paragraph" w:styleId="Footer">
    <w:name w:val="footer"/>
    <w:basedOn w:val="Normal"/>
    <w:link w:val="FooterChar"/>
    <w:uiPriority w:val="99"/>
    <w:unhideWhenUsed/>
    <w:rsid w:val="00577AE4"/>
    <w:pPr>
      <w:tabs>
        <w:tab w:val="center" w:pos="4680"/>
        <w:tab w:val="right" w:pos="9360"/>
      </w:tabs>
    </w:pPr>
  </w:style>
  <w:style w:type="character" w:customStyle="1" w:styleId="FooterChar">
    <w:name w:val="Footer Char"/>
    <w:basedOn w:val="DefaultParagraphFont"/>
    <w:link w:val="Footer"/>
    <w:uiPriority w:val="99"/>
    <w:rsid w:val="00577AE4"/>
  </w:style>
  <w:style w:type="character" w:customStyle="1" w:styleId="Heading1Char">
    <w:name w:val="Heading 1 Char"/>
    <w:basedOn w:val="DefaultParagraphFont"/>
    <w:link w:val="Heading1"/>
    <w:uiPriority w:val="1"/>
    <w:rsid w:val="00C76632"/>
    <w:rPr>
      <w:rFonts w:ascii="Calibri" w:eastAsia="Calibri" w:hAnsi="Calibri"/>
      <w:b/>
      <w:bCs/>
      <w:sz w:val="44"/>
      <w:szCs w:val="44"/>
      <w:lang w:val="en-US"/>
    </w:rPr>
  </w:style>
  <w:style w:type="character" w:customStyle="1" w:styleId="Heading2Char">
    <w:name w:val="Heading 2 Char"/>
    <w:basedOn w:val="DefaultParagraphFont"/>
    <w:link w:val="Heading2"/>
    <w:uiPriority w:val="1"/>
    <w:rsid w:val="00C76632"/>
    <w:rPr>
      <w:rFonts w:ascii="Calibri" w:eastAsia="Calibri" w:hAnsi="Calibri"/>
      <w:b/>
      <w:bCs/>
      <w:i/>
      <w:sz w:val="44"/>
      <w:szCs w:val="44"/>
      <w:lang w:val="en-US"/>
    </w:rPr>
  </w:style>
  <w:style w:type="paragraph" w:styleId="BodyText">
    <w:name w:val="Body Text"/>
    <w:basedOn w:val="Normal"/>
    <w:link w:val="BodyTextChar"/>
    <w:uiPriority w:val="1"/>
    <w:qFormat/>
    <w:rsid w:val="00C76632"/>
    <w:pPr>
      <w:ind w:left="100"/>
    </w:pPr>
    <w:rPr>
      <w:rFonts w:ascii="Calibri" w:eastAsia="Calibri" w:hAnsi="Calibri"/>
      <w:sz w:val="30"/>
      <w:szCs w:val="30"/>
    </w:rPr>
  </w:style>
  <w:style w:type="character" w:customStyle="1" w:styleId="BodyTextChar">
    <w:name w:val="Body Text Char"/>
    <w:basedOn w:val="DefaultParagraphFont"/>
    <w:link w:val="BodyText"/>
    <w:uiPriority w:val="1"/>
    <w:rsid w:val="00C76632"/>
    <w:rPr>
      <w:rFonts w:ascii="Calibri" w:eastAsia="Calibri" w:hAnsi="Calibri"/>
      <w:sz w:val="30"/>
      <w:szCs w:val="30"/>
      <w:lang w:val="en-US"/>
    </w:rPr>
  </w:style>
  <w:style w:type="paragraph" w:customStyle="1" w:styleId="Default">
    <w:name w:val="Default"/>
    <w:rsid w:val="00C766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6632"/>
    <w:rPr>
      <w:color w:val="0563C1" w:themeColor="hyperlink"/>
      <w:u w:val="single"/>
    </w:rPr>
  </w:style>
  <w:style w:type="paragraph" w:styleId="NoSpacing">
    <w:name w:val="No Spacing"/>
    <w:uiPriority w:val="1"/>
    <w:qFormat/>
    <w:rsid w:val="00FC26AE"/>
    <w:pPr>
      <w:widowControl w:val="0"/>
      <w:spacing w:after="0" w:line="240" w:lineRule="auto"/>
    </w:pPr>
    <w:rPr>
      <w:lang w:val="en-US"/>
    </w:rPr>
  </w:style>
  <w:style w:type="paragraph" w:styleId="BalloonText">
    <w:name w:val="Balloon Text"/>
    <w:basedOn w:val="Normal"/>
    <w:link w:val="BalloonTextChar"/>
    <w:uiPriority w:val="99"/>
    <w:semiHidden/>
    <w:unhideWhenUsed/>
    <w:rsid w:val="00FC2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205220"/>
    <w:rPr>
      <w:color w:val="605E5C"/>
      <w:shd w:val="clear" w:color="auto" w:fill="E1DFDD"/>
    </w:rPr>
  </w:style>
  <w:style w:type="paragraph" w:styleId="ListParagraph">
    <w:name w:val="List Paragraph"/>
    <w:basedOn w:val="Normal"/>
    <w:uiPriority w:val="34"/>
    <w:qFormat/>
    <w:rsid w:val="001D386B"/>
    <w:pPr>
      <w:ind w:left="720"/>
      <w:contextualSpacing/>
    </w:pPr>
  </w:style>
  <w:style w:type="character" w:styleId="CommentReference">
    <w:name w:val="annotation reference"/>
    <w:basedOn w:val="DefaultParagraphFont"/>
    <w:uiPriority w:val="99"/>
    <w:semiHidden/>
    <w:unhideWhenUsed/>
    <w:rsid w:val="00A074F8"/>
    <w:rPr>
      <w:sz w:val="16"/>
      <w:szCs w:val="16"/>
    </w:rPr>
  </w:style>
  <w:style w:type="paragraph" w:styleId="CommentText">
    <w:name w:val="annotation text"/>
    <w:basedOn w:val="Normal"/>
    <w:link w:val="CommentTextChar"/>
    <w:uiPriority w:val="99"/>
    <w:semiHidden/>
    <w:unhideWhenUsed/>
    <w:rsid w:val="00A074F8"/>
    <w:rPr>
      <w:sz w:val="20"/>
      <w:szCs w:val="20"/>
    </w:rPr>
  </w:style>
  <w:style w:type="character" w:customStyle="1" w:styleId="CommentTextChar">
    <w:name w:val="Comment Text Char"/>
    <w:basedOn w:val="DefaultParagraphFont"/>
    <w:link w:val="CommentText"/>
    <w:uiPriority w:val="99"/>
    <w:semiHidden/>
    <w:rsid w:val="00A074F8"/>
    <w:rPr>
      <w:sz w:val="20"/>
      <w:szCs w:val="20"/>
      <w:lang w:val="en-US"/>
    </w:rPr>
  </w:style>
  <w:style w:type="paragraph" w:styleId="CommentSubject">
    <w:name w:val="annotation subject"/>
    <w:basedOn w:val="CommentText"/>
    <w:next w:val="CommentText"/>
    <w:link w:val="CommentSubjectChar"/>
    <w:uiPriority w:val="99"/>
    <w:semiHidden/>
    <w:unhideWhenUsed/>
    <w:rsid w:val="00A074F8"/>
    <w:rPr>
      <w:b/>
      <w:bCs/>
    </w:rPr>
  </w:style>
  <w:style w:type="character" w:customStyle="1" w:styleId="CommentSubjectChar">
    <w:name w:val="Comment Subject Char"/>
    <w:basedOn w:val="CommentTextChar"/>
    <w:link w:val="CommentSubject"/>
    <w:uiPriority w:val="99"/>
    <w:semiHidden/>
    <w:rsid w:val="00A074F8"/>
    <w:rPr>
      <w:b/>
      <w:bCs/>
      <w:sz w:val="20"/>
      <w:szCs w:val="20"/>
      <w:lang w:val="en-US"/>
    </w:rPr>
  </w:style>
  <w:style w:type="paragraph" w:customStyle="1" w:styleId="QECTableCaption">
    <w:name w:val="QEC Table Caption"/>
    <w:basedOn w:val="Normal"/>
    <w:rsid w:val="00360CEE"/>
    <w:pPr>
      <w:widowControl/>
      <w:spacing w:after="240" w:line="480" w:lineRule="auto"/>
      <w:jc w:val="center"/>
    </w:pPr>
    <w:rPr>
      <w:rFonts w:ascii="Arial" w:eastAsia="Times New Roman" w:hAnsi="Arial" w:cs="Arial"/>
      <w:b/>
      <w:bCs/>
      <w:sz w:val="24"/>
      <w:szCs w:val="24"/>
      <w:lang w:val="en-CA"/>
    </w:rPr>
  </w:style>
  <w:style w:type="table" w:styleId="TableGrid">
    <w:name w:val="Table Grid"/>
    <w:basedOn w:val="TableNormal"/>
    <w:uiPriority w:val="59"/>
    <w:rsid w:val="00360CE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74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ec.nu.ca" TargetMode="External"/><Relationship Id="rId13" Type="http://schemas.openxmlformats.org/officeDocument/2006/relationships/hyperlink" Target="mailto:%20Email%20&#8211;%20URRC@gov.n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Email%20&#8211;%20URRC@gov.nu.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ec.nu.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0Email%20&#8211;%20URRC@gov.nu.ca" TargetMode="External"/><Relationship Id="rId4" Type="http://schemas.openxmlformats.org/officeDocument/2006/relationships/settings" Target="settings.xml"/><Relationship Id="rId9" Type="http://schemas.openxmlformats.org/officeDocument/2006/relationships/hyperlink" Target="mailto:%20Email%20&#8211;%20URRC@gov.nu.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7996-378C-432C-89F3-D2D1E942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Nunavut</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Laurie-Anne</dc:creator>
  <cp:lastModifiedBy>18672223629</cp:lastModifiedBy>
  <cp:revision>8</cp:revision>
  <cp:lastPrinted>2019-11-26T15:28:00Z</cp:lastPrinted>
  <dcterms:created xsi:type="dcterms:W3CDTF">2024-12-16T21:57:00Z</dcterms:created>
  <dcterms:modified xsi:type="dcterms:W3CDTF">2024-12-19T18:54:00Z</dcterms:modified>
</cp:coreProperties>
</file>